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01049">
              <w:rPr>
                <w:rFonts w:asciiTheme="majorHAnsi" w:eastAsiaTheme="majorEastAsia" w:hAnsiTheme="majorHAnsi" w:cstheme="majorBidi"/>
                <w:sz w:val="36"/>
                <w:szCs w:val="36"/>
              </w:rPr>
              <w:t>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16216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4C3440" w:rsidP="00D16216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14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D16216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BB41CA0" wp14:editId="07BB09E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D16216" w:rsidP="00AD2065">
      <w:pPr>
        <w:rPr>
          <w:b/>
        </w:rPr>
      </w:pPr>
      <w:r>
        <w:rPr>
          <w:b/>
        </w:rPr>
        <w:t>Aralık</w:t>
      </w:r>
      <w:r w:rsidR="00A704B3">
        <w:rPr>
          <w:b/>
        </w:rPr>
        <w:t xml:space="preserve"> </w:t>
      </w:r>
      <w:r w:rsidR="00176D24">
        <w:rPr>
          <w:b/>
        </w:rPr>
        <w:t>2018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4C3440">
        <w:rPr>
          <w:b/>
        </w:rPr>
        <w:t>14</w:t>
      </w:r>
      <w:r>
        <w:rPr>
          <w:b/>
        </w:rPr>
        <w:t xml:space="preserve"> Şubat</w:t>
      </w:r>
      <w:r w:rsidR="00145A62">
        <w:rPr>
          <w:b/>
        </w:rPr>
        <w:t xml:space="preserve"> 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D16216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37C47C09" wp14:editId="50180130">
            <wp:extent cx="5972175" cy="24098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E37D6E" w:rsidRDefault="00F342CF" w:rsidP="00C144CC">
      <w:pPr>
        <w:jc w:val="both"/>
      </w:pPr>
      <w:r>
        <w:t>Aralık</w:t>
      </w:r>
      <w:r w:rsidR="00574C38" w:rsidRPr="00E37D6E">
        <w:t xml:space="preserve"> ayında Türkiye (TR) Geneli </w:t>
      </w:r>
      <w:r w:rsidR="007B58E6" w:rsidRPr="00E37D6E">
        <w:t>Sanayi Üretim Endeksi</w:t>
      </w:r>
      <w:r w:rsidR="00574C38" w:rsidRPr="00E37D6E">
        <w:t xml:space="preserve"> </w:t>
      </w:r>
      <w:r w:rsidR="00EE2F80" w:rsidRPr="00E37D6E">
        <w:rPr>
          <w:b/>
          <w:u w:val="single"/>
        </w:rPr>
        <w:t>bir önceki aya (</w:t>
      </w:r>
      <w:r w:rsidR="00E37D6E" w:rsidRPr="00E37D6E">
        <w:rPr>
          <w:b/>
          <w:u w:val="single"/>
        </w:rPr>
        <w:t>Kasım</w:t>
      </w:r>
      <w:r w:rsidR="00836230" w:rsidRPr="00E37D6E">
        <w:rPr>
          <w:b/>
          <w:u w:val="single"/>
        </w:rPr>
        <w:t xml:space="preserve"> 2018</w:t>
      </w:r>
      <w:r w:rsidR="00574C38" w:rsidRPr="00E37D6E">
        <w:rPr>
          <w:b/>
          <w:u w:val="single"/>
        </w:rPr>
        <w:t>) göre</w:t>
      </w:r>
      <w:r w:rsidR="00574C38" w:rsidRPr="00E37D6E">
        <w:t xml:space="preserve"> yüzde </w:t>
      </w:r>
      <w:r w:rsidR="00E37D6E" w:rsidRPr="00E37D6E">
        <w:t>1,4</w:t>
      </w:r>
      <w:r w:rsidR="00E7657B" w:rsidRPr="00E37D6E">
        <w:t xml:space="preserve"> </w:t>
      </w:r>
      <w:r w:rsidR="006A4591" w:rsidRPr="00E37D6E">
        <w:t xml:space="preserve">azalış </w:t>
      </w:r>
      <w:r w:rsidR="00370B3E" w:rsidRPr="00E37D6E">
        <w:t>göst</w:t>
      </w:r>
      <w:r w:rsidR="004B6888" w:rsidRPr="00E37D6E">
        <w:t>ermiştir</w:t>
      </w:r>
      <w:r w:rsidR="00574C38" w:rsidRPr="00E37D6E">
        <w:t xml:space="preserve">. </w:t>
      </w:r>
      <w:r w:rsidR="00E37D6E" w:rsidRPr="00E37D6E">
        <w:t>Aralık</w:t>
      </w:r>
      <w:r w:rsidR="00A703C9" w:rsidRPr="00E37D6E">
        <w:t xml:space="preserve"> </w:t>
      </w:r>
      <w:r w:rsidR="006F0E9D" w:rsidRPr="00E37D6E">
        <w:t>(2018</w:t>
      </w:r>
      <w:r w:rsidR="00574C38" w:rsidRPr="00E37D6E">
        <w:t>) ayında</w:t>
      </w:r>
      <w:r w:rsidR="007E6746" w:rsidRPr="00E37D6E">
        <w:t xml:space="preserve">ki </w:t>
      </w:r>
      <w:r w:rsidR="00390E27" w:rsidRPr="00E37D6E">
        <w:t>a</w:t>
      </w:r>
      <w:r w:rsidR="00DC7A17" w:rsidRPr="00E37D6E">
        <w:t>zalış</w:t>
      </w:r>
      <w:r w:rsidR="005D282B" w:rsidRPr="00E37D6E">
        <w:t>ta</w:t>
      </w:r>
      <w:r w:rsidR="00DB1F8E" w:rsidRPr="00E37D6E">
        <w:t xml:space="preserve"> </w:t>
      </w:r>
      <w:r w:rsidR="007E6746" w:rsidRPr="00E37D6E">
        <w:t xml:space="preserve">bir önceki </w:t>
      </w:r>
      <w:r w:rsidR="0092656D" w:rsidRPr="00E37D6E">
        <w:t>aya göre</w:t>
      </w:r>
      <w:r w:rsidR="00DB1F8E" w:rsidRPr="00E37D6E">
        <w:t xml:space="preserve"> </w:t>
      </w:r>
      <w:r w:rsidR="00E37D6E" w:rsidRPr="00E37D6E">
        <w:t>imalat sanayi sektöründeki yüzde 1,6’lık ve e</w:t>
      </w:r>
      <w:r w:rsidR="004C2C40" w:rsidRPr="00E37D6E">
        <w:t>lektrik, gaz, buhar ve iklimlendirme üretimi ve dağıtımı sektöründe</w:t>
      </w:r>
      <w:r w:rsidR="00E37D6E" w:rsidRPr="00E37D6E">
        <w:t xml:space="preserve">ki yüzde 0,8’lik azalış etkili olmuştur. Madencilik ve </w:t>
      </w:r>
      <w:proofErr w:type="spellStart"/>
      <w:r w:rsidR="00E37D6E" w:rsidRPr="00E37D6E">
        <w:t>taşocakçılığı</w:t>
      </w:r>
      <w:proofErr w:type="spellEnd"/>
      <w:r w:rsidR="00E37D6E" w:rsidRPr="00E37D6E">
        <w:t xml:space="preserve"> sektöründe</w:t>
      </w:r>
      <w:r w:rsidR="004C2C40" w:rsidRPr="00E37D6E">
        <w:t xml:space="preserve"> ise </w:t>
      </w:r>
      <w:r w:rsidR="00E37D6E" w:rsidRPr="00E37D6E">
        <w:t>yüzde 0,1</w:t>
      </w:r>
      <w:r>
        <w:t>’lik</w:t>
      </w:r>
      <w:r w:rsidR="00E37D6E" w:rsidRPr="00E37D6E">
        <w:t xml:space="preserve"> artış yaşan</w:t>
      </w:r>
      <w:r w:rsidR="004C2C40" w:rsidRPr="00E37D6E">
        <w:t>mıştır.</w:t>
      </w:r>
    </w:p>
    <w:p w:rsidR="007B58E6" w:rsidRPr="00817D11" w:rsidRDefault="00C04441" w:rsidP="007B58E6">
      <w:pPr>
        <w:jc w:val="both"/>
      </w:pPr>
      <w:r w:rsidRPr="00817D11">
        <w:t>Ana sanayi gruplarına</w:t>
      </w:r>
      <w:r w:rsidR="007B58E6" w:rsidRPr="00817D11">
        <w:t xml:space="preserve"> bakıldığında </w:t>
      </w:r>
      <w:r w:rsidR="0003703C" w:rsidRPr="00817D11">
        <w:t>toplam sanayi endeksindeki</w:t>
      </w:r>
      <w:r w:rsidR="00475829" w:rsidRPr="00817D11">
        <w:t xml:space="preserve"> </w:t>
      </w:r>
      <w:r w:rsidR="00263D6B" w:rsidRPr="00817D11">
        <w:t>azalışta</w:t>
      </w:r>
      <w:r w:rsidR="009E2652" w:rsidRPr="00817D11">
        <w:t xml:space="preserve"> </w:t>
      </w:r>
      <w:r w:rsidR="00817D11" w:rsidRPr="00817D11">
        <w:t>dayanıklı tüketim</w:t>
      </w:r>
      <w:r w:rsidR="00596375" w:rsidRPr="00817D11">
        <w:t xml:space="preserve"> malı, </w:t>
      </w:r>
      <w:r w:rsidR="004C2C40" w:rsidRPr="00817D11">
        <w:t>sermaye malı</w:t>
      </w:r>
      <w:r w:rsidR="00817D11">
        <w:t xml:space="preserve">, ara malı, enerji </w:t>
      </w:r>
      <w:r w:rsidR="00A703C9" w:rsidRPr="00817D11">
        <w:t xml:space="preserve">ve </w:t>
      </w:r>
      <w:r w:rsidR="00817D11" w:rsidRPr="00817D11">
        <w:t xml:space="preserve">dayanıksız tüketim malı </w:t>
      </w:r>
      <w:r w:rsidR="00482E70" w:rsidRPr="00817D11">
        <w:t>sektöründe</w:t>
      </w:r>
      <w:r w:rsidR="00F27E6F" w:rsidRPr="00817D11">
        <w:t xml:space="preserve"> </w:t>
      </w:r>
      <w:r w:rsidR="00736EAB" w:rsidRPr="00817D11">
        <w:t xml:space="preserve">yaşanan </w:t>
      </w:r>
      <w:r w:rsidR="00263D6B" w:rsidRPr="00817D11">
        <w:t>azalış</w:t>
      </w:r>
      <w:r w:rsidR="005D282B" w:rsidRPr="00817D11">
        <w:t>ın</w:t>
      </w:r>
      <w:r w:rsidR="007B58E6" w:rsidRPr="00817D11">
        <w:t xml:space="preserve"> etkisi oldu</w:t>
      </w:r>
      <w:r w:rsidR="00FD0F6A" w:rsidRPr="00817D11">
        <w:t>ğu görülmektedir</w:t>
      </w:r>
      <w:r w:rsidR="00521423" w:rsidRPr="00817D11">
        <w:t xml:space="preserve"> (</w:t>
      </w:r>
      <w:r w:rsidR="00817D11" w:rsidRPr="00817D11">
        <w:t>sırasıyla yüzde 7,4’lü</w:t>
      </w:r>
      <w:r w:rsidR="00A703C9" w:rsidRPr="00817D11">
        <w:t>k</w:t>
      </w:r>
      <w:r w:rsidR="000F2907" w:rsidRPr="00817D11">
        <w:t xml:space="preserve">, </w:t>
      </w:r>
      <w:r w:rsidR="00817D11" w:rsidRPr="00817D11">
        <w:t>2,2</w:t>
      </w:r>
      <w:r w:rsidR="00596375" w:rsidRPr="00817D11">
        <w:t>’lik</w:t>
      </w:r>
      <w:r w:rsidR="00817D11" w:rsidRPr="00817D11">
        <w:t xml:space="preserve">, 1,2’lik, 0,7’lik </w:t>
      </w:r>
      <w:r w:rsidR="005D282B" w:rsidRPr="00817D11">
        <w:t xml:space="preserve">ve </w:t>
      </w:r>
      <w:r w:rsidR="00817D11" w:rsidRPr="00817D11">
        <w:t>0,4</w:t>
      </w:r>
      <w:r w:rsidR="004C2C40" w:rsidRPr="00817D11">
        <w:t>’lü</w:t>
      </w:r>
      <w:r w:rsidR="00B33F14" w:rsidRPr="00817D11">
        <w:t>k</w:t>
      </w:r>
      <w:r w:rsidR="004B6888" w:rsidRPr="00817D11">
        <w:t xml:space="preserve"> </w:t>
      </w:r>
      <w:r w:rsidR="00263D6B" w:rsidRPr="00817D11">
        <w:t>azalı</w:t>
      </w:r>
      <w:r w:rsidR="00475829" w:rsidRPr="00817D11">
        <w:t>ş</w:t>
      </w:r>
      <w:r w:rsidR="00F27E6F" w:rsidRPr="00817D11">
        <w:t>lar</w:t>
      </w:r>
      <w:r w:rsidR="0003703C" w:rsidRPr="00817D11">
        <w:t>)</w:t>
      </w:r>
      <w:r w:rsidR="007B58E6" w:rsidRPr="00817D11">
        <w:t>.</w:t>
      </w:r>
    </w:p>
    <w:p w:rsidR="004B6888" w:rsidRDefault="00F27E6F" w:rsidP="00160C8F">
      <w:pPr>
        <w:jc w:val="both"/>
      </w:pPr>
      <w:r w:rsidRPr="00817D11">
        <w:t>Teknoloji sınıflarına bakıldığında bir önceki aya göre</w:t>
      </w:r>
      <w:r w:rsidR="004C2C40" w:rsidRPr="00817D11">
        <w:t xml:space="preserve"> orta</w:t>
      </w:r>
      <w:r w:rsidRPr="00817D11">
        <w:t xml:space="preserve"> </w:t>
      </w:r>
      <w:r w:rsidR="00817D11" w:rsidRPr="00817D11">
        <w:t>düşük</w:t>
      </w:r>
      <w:r w:rsidR="00E67764" w:rsidRPr="00817D11">
        <w:t xml:space="preserve"> teknolojili üretimde </w:t>
      </w:r>
      <w:r w:rsidR="00263D6B" w:rsidRPr="00817D11">
        <w:t xml:space="preserve">yüzde </w:t>
      </w:r>
      <w:r w:rsidR="00817D11" w:rsidRPr="00817D11">
        <w:t xml:space="preserve">3’lük, </w:t>
      </w:r>
      <w:r w:rsidR="004C2C40" w:rsidRPr="00817D11">
        <w:t xml:space="preserve">düşük teknolojili üretimde yüzde </w:t>
      </w:r>
      <w:r w:rsidR="00817D11" w:rsidRPr="00817D11">
        <w:t>1,7’lik ve orta yüksek teknolojili üretimde yüzde 0,6’lık</w:t>
      </w:r>
      <w:r w:rsidR="00BA29CF" w:rsidRPr="00817D11">
        <w:t xml:space="preserve"> </w:t>
      </w:r>
      <w:r w:rsidR="00817D11" w:rsidRPr="00817D11">
        <w:t>azalış</w:t>
      </w:r>
      <w:r w:rsidR="00BA29CF" w:rsidRPr="00817D11">
        <w:t xml:space="preserve"> olduğu görülmektedir.</w:t>
      </w:r>
      <w:r w:rsidR="00A22DF8" w:rsidRPr="00817D11">
        <w:t xml:space="preserve"> </w:t>
      </w:r>
      <w:r w:rsidR="004C2C40" w:rsidRPr="00817D11">
        <w:t>Y</w:t>
      </w:r>
      <w:r w:rsidR="00BA29CF" w:rsidRPr="00817D11">
        <w:t>ükse</w:t>
      </w:r>
      <w:r w:rsidR="008919E1" w:rsidRPr="00817D11">
        <w:t>k</w:t>
      </w:r>
      <w:r w:rsidR="001A10CB" w:rsidRPr="00817D11">
        <w:t xml:space="preserve"> </w:t>
      </w:r>
      <w:r w:rsidRPr="00817D11">
        <w:t>teknoloji</w:t>
      </w:r>
      <w:r w:rsidR="005B7F6F" w:rsidRPr="00817D11">
        <w:t>li</w:t>
      </w:r>
      <w:r w:rsidRPr="00817D11">
        <w:t xml:space="preserve"> üretimde</w:t>
      </w:r>
      <w:r w:rsidR="00E67764" w:rsidRPr="00817D11">
        <w:t xml:space="preserve"> </w:t>
      </w:r>
      <w:r w:rsidR="008E7A90" w:rsidRPr="00817D11">
        <w:t xml:space="preserve">yüzde </w:t>
      </w:r>
      <w:r w:rsidR="00817D11" w:rsidRPr="00817D11">
        <w:t>1,3’lü</w:t>
      </w:r>
      <w:r w:rsidRPr="00817D11">
        <w:t>k</w:t>
      </w:r>
      <w:r w:rsidR="004C2C40" w:rsidRPr="00817D11">
        <w:t xml:space="preserve"> </w:t>
      </w:r>
      <w:r w:rsidR="00817D11" w:rsidRPr="00817D11">
        <w:t>artış</w:t>
      </w:r>
      <w:r w:rsidR="008E7A90" w:rsidRPr="00817D11">
        <w:t xml:space="preserve"> </w:t>
      </w:r>
      <w:r w:rsidR="001A10CB" w:rsidRPr="00817D11">
        <w:t>yaşanmıştır.</w:t>
      </w:r>
      <w:r w:rsidR="00E67764">
        <w:t xml:space="preserve"> </w:t>
      </w:r>
      <w:r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D16216">
        <w:rPr>
          <w:rFonts w:eastAsia="Times New Roman" w:cs="Times New Roman"/>
          <w:b/>
          <w:bCs/>
          <w:kern w:val="36"/>
          <w:sz w:val="24"/>
          <w:szCs w:val="24"/>
        </w:rPr>
        <w:t xml:space="preserve">Aralık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D16216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60736E49" wp14:editId="145655F4">
            <wp:extent cx="5972810" cy="2683510"/>
            <wp:effectExtent l="0" t="0" r="27940" b="2159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1E1" w:rsidRPr="005B7556" w:rsidRDefault="00160C8F" w:rsidP="00160C8F">
      <w:pPr>
        <w:jc w:val="both"/>
      </w:pPr>
      <w:r w:rsidRPr="005B7556">
        <w:t xml:space="preserve">Endeks </w:t>
      </w:r>
      <w:r w:rsidRPr="005B7556">
        <w:rPr>
          <w:b/>
          <w:u w:val="single"/>
        </w:rPr>
        <w:t>bir önceki yılın aynı ayına göre</w:t>
      </w:r>
      <w:r w:rsidRPr="005B7556">
        <w:t xml:space="preserve"> yüzde </w:t>
      </w:r>
      <w:r w:rsidR="005B7556" w:rsidRPr="005B7556">
        <w:t>9,8</w:t>
      </w:r>
      <w:r w:rsidR="008A62B9" w:rsidRPr="005B7556">
        <w:t xml:space="preserve"> </w:t>
      </w:r>
      <w:r w:rsidRPr="005B7556">
        <w:t xml:space="preserve">oranında </w:t>
      </w:r>
      <w:r w:rsidR="001476B3" w:rsidRPr="005B7556">
        <w:t>azalış</w:t>
      </w:r>
      <w:r w:rsidR="00756492" w:rsidRPr="005B7556">
        <w:t xml:space="preserve"> </w:t>
      </w:r>
      <w:r w:rsidRPr="005B7556">
        <w:t xml:space="preserve">göstermiştir. </w:t>
      </w:r>
      <w:r w:rsidR="005B7556" w:rsidRPr="005B7556">
        <w:t>Aralık</w:t>
      </w:r>
      <w:r w:rsidR="00153CD8" w:rsidRPr="005B7556">
        <w:t xml:space="preserve"> </w:t>
      </w:r>
      <w:r w:rsidR="009E5A0A" w:rsidRPr="005B7556">
        <w:t>(2018</w:t>
      </w:r>
      <w:r w:rsidRPr="005B7556">
        <w:t xml:space="preserve">) ayında önceki yıla göre ana sanayi </w:t>
      </w:r>
      <w:r w:rsidR="00C04441" w:rsidRPr="005B7556">
        <w:t>sektörleri</w:t>
      </w:r>
      <w:r w:rsidR="001476B3" w:rsidRPr="005B7556">
        <w:t xml:space="preserve"> itibariyle en yüksek azalış</w:t>
      </w:r>
      <w:r w:rsidRPr="005B7556">
        <w:t xml:space="preserve"> </w:t>
      </w:r>
      <w:r w:rsidR="005B7556" w:rsidRPr="005B7556">
        <w:t>yüzde 10,8</w:t>
      </w:r>
      <w:r w:rsidR="001476B3" w:rsidRPr="005B7556">
        <w:t xml:space="preserve"> </w:t>
      </w:r>
      <w:r w:rsidR="005A54BA" w:rsidRPr="005B7556">
        <w:t>ile</w:t>
      </w:r>
      <w:r w:rsidR="001476B3" w:rsidRPr="005B7556">
        <w:t xml:space="preserve"> imala</w:t>
      </w:r>
      <w:r w:rsidR="0090264F" w:rsidRPr="005B7556">
        <w:t>t sanayi sektöründe gerçekleşmiştir.</w:t>
      </w:r>
      <w:r w:rsidR="005A54BA" w:rsidRPr="005B7556">
        <w:t xml:space="preserve"> </w:t>
      </w:r>
      <w:r w:rsidR="002D4D88" w:rsidRPr="005B7556">
        <w:t>B</w:t>
      </w:r>
      <w:r w:rsidR="00DA15C9" w:rsidRPr="005B7556">
        <w:t xml:space="preserve">u sektörü, </w:t>
      </w:r>
      <w:r w:rsidR="005B7556" w:rsidRPr="005B7556">
        <w:t>yüzde 2,1</w:t>
      </w:r>
      <w:r w:rsidR="001476B3" w:rsidRPr="005B7556">
        <w:t xml:space="preserve"> azalış</w:t>
      </w:r>
      <w:r w:rsidR="00DA15C9" w:rsidRPr="005B7556">
        <w:t xml:space="preserve">la </w:t>
      </w:r>
      <w:r w:rsidR="005B7556" w:rsidRPr="005B7556">
        <w:t xml:space="preserve">madencilik ve </w:t>
      </w:r>
      <w:proofErr w:type="spellStart"/>
      <w:r w:rsidR="005B7556" w:rsidRPr="005B7556">
        <w:t>taşocakçılığı</w:t>
      </w:r>
      <w:proofErr w:type="spellEnd"/>
      <w:r w:rsidR="005B7556" w:rsidRPr="005B7556">
        <w:t xml:space="preserve"> ve yüzde 1,2 azalışla </w:t>
      </w:r>
      <w:r w:rsidR="00233F90" w:rsidRPr="005B7556">
        <w:t xml:space="preserve">elektrik, gaz, buhar ve iklimlendirme üretimi ve dağıtımı </w:t>
      </w:r>
      <w:r w:rsidR="00FF11E1" w:rsidRPr="005B7556">
        <w:t>sektörleri</w:t>
      </w:r>
      <w:r w:rsidR="001476B3" w:rsidRPr="005B7556">
        <w:t xml:space="preserve"> </w:t>
      </w:r>
      <w:r w:rsidR="00FF11E1" w:rsidRPr="005B7556">
        <w:t xml:space="preserve">takip etmiştir.  </w:t>
      </w:r>
    </w:p>
    <w:p w:rsidR="00153CD8" w:rsidRPr="005B7556" w:rsidRDefault="00C04441" w:rsidP="00160C8F">
      <w:pPr>
        <w:jc w:val="both"/>
      </w:pPr>
      <w:r w:rsidRPr="005B7556">
        <w:t>Ana sanayi gruplarına</w:t>
      </w:r>
      <w:r w:rsidR="00160C8F" w:rsidRPr="005B7556">
        <w:t xml:space="preserve"> bakıldığında</w:t>
      </w:r>
      <w:r w:rsidR="00D72BD4" w:rsidRPr="005B7556">
        <w:t>,</w:t>
      </w:r>
      <w:r w:rsidRPr="005B7556">
        <w:t xml:space="preserve"> </w:t>
      </w:r>
      <w:r w:rsidR="005B7556" w:rsidRPr="005B7556">
        <w:t>ara malı imalatında yüzde 14</w:t>
      </w:r>
      <w:r w:rsidR="00FF11E1" w:rsidRPr="005B7556">
        <w:t>,9’lu</w:t>
      </w:r>
      <w:r w:rsidR="009C6424" w:rsidRPr="005B7556">
        <w:t>k,</w:t>
      </w:r>
      <w:r w:rsidR="00983006" w:rsidRPr="005B7556">
        <w:t xml:space="preserve"> </w:t>
      </w:r>
      <w:r w:rsidR="005B7556" w:rsidRPr="005B7556">
        <w:t xml:space="preserve">dayanıklı tüketim malı imalatında yüzde 8,9’luk, </w:t>
      </w:r>
      <w:r w:rsidR="0090264F" w:rsidRPr="005B7556">
        <w:t>sermaye malı imalatında yü</w:t>
      </w:r>
      <w:r w:rsidR="005B7556" w:rsidRPr="005B7556">
        <w:t>zde 8,6’lı</w:t>
      </w:r>
      <w:r w:rsidR="00744706" w:rsidRPr="005B7556">
        <w:t>k</w:t>
      </w:r>
      <w:r w:rsidR="005B7556" w:rsidRPr="005B7556">
        <w:t xml:space="preserve">, </w:t>
      </w:r>
      <w:r w:rsidR="0090264F" w:rsidRPr="005B7556">
        <w:t>dayanıksız tüketim malı</w:t>
      </w:r>
      <w:r w:rsidR="008A18D9" w:rsidRPr="005B7556">
        <w:t xml:space="preserve"> </w:t>
      </w:r>
      <w:r w:rsidR="00740BAC" w:rsidRPr="005B7556">
        <w:t>imalatında yüzd</w:t>
      </w:r>
      <w:r w:rsidR="005B7556" w:rsidRPr="005B7556">
        <w:t>e 6,4</w:t>
      </w:r>
      <w:r w:rsidR="008A18D9" w:rsidRPr="005B7556">
        <w:t>’</w:t>
      </w:r>
      <w:r w:rsidR="005B7556" w:rsidRPr="005B7556">
        <w:t>lü</w:t>
      </w:r>
      <w:r w:rsidR="00740BAC" w:rsidRPr="005B7556">
        <w:t>k</w:t>
      </w:r>
      <w:r w:rsidR="0090264F" w:rsidRPr="005B7556">
        <w:t xml:space="preserve"> </w:t>
      </w:r>
      <w:r w:rsidR="005B7556" w:rsidRPr="005B7556">
        <w:t xml:space="preserve">ve enerji imalatında yüzde 0,3’lük </w:t>
      </w:r>
      <w:r w:rsidR="00740BAC" w:rsidRPr="005B7556">
        <w:t>azalı</w:t>
      </w:r>
      <w:r w:rsidR="00153CD8" w:rsidRPr="005B7556">
        <w:t>ş yaşanmıştır.</w:t>
      </w:r>
      <w:r w:rsidR="003D666D" w:rsidRPr="005B7556">
        <w:t xml:space="preserve"> </w:t>
      </w:r>
    </w:p>
    <w:p w:rsidR="00737710" w:rsidRPr="00C919B8" w:rsidRDefault="009E5A0A" w:rsidP="00740BAC">
      <w:pPr>
        <w:jc w:val="both"/>
      </w:pPr>
      <w:r w:rsidRPr="00453015">
        <w:t xml:space="preserve">Bir önceki yılın aynı ayına göre değişime teknoloji sınıflarına göre bakıldığında </w:t>
      </w:r>
      <w:r w:rsidR="00740BAC" w:rsidRPr="00453015">
        <w:t>en yüksek azalışın</w:t>
      </w:r>
      <w:r w:rsidR="00580464" w:rsidRPr="00453015">
        <w:t xml:space="preserve"> yüzde </w:t>
      </w:r>
      <w:r w:rsidR="00D35BE1" w:rsidRPr="00453015">
        <w:t>19</w:t>
      </w:r>
      <w:r w:rsidR="00C919B8" w:rsidRPr="00453015">
        <w:t>,2</w:t>
      </w:r>
      <w:r w:rsidR="00315182" w:rsidRPr="00453015">
        <w:t>’li</w:t>
      </w:r>
      <w:r w:rsidR="00740BAC" w:rsidRPr="00453015">
        <w:t xml:space="preserve">k azalışla orta düşük teknolojili üretimde </w:t>
      </w:r>
      <w:r w:rsidR="008A18D9" w:rsidRPr="00453015">
        <w:t xml:space="preserve">olduğu </w:t>
      </w:r>
      <w:r w:rsidR="008111C1" w:rsidRPr="00453015">
        <w:t>görülmektedir.</w:t>
      </w:r>
      <w:r w:rsidR="00740BAC" w:rsidRPr="00453015">
        <w:t xml:space="preserve"> Orta d</w:t>
      </w:r>
      <w:r w:rsidR="00315182" w:rsidRPr="00453015">
        <w:t>üş</w:t>
      </w:r>
      <w:r w:rsidR="00D35BE1" w:rsidRPr="00453015">
        <w:t>ük teknolojili üretimi yüzde 9,8’li</w:t>
      </w:r>
      <w:r w:rsidR="00740BAC" w:rsidRPr="00453015">
        <w:t xml:space="preserve">k azalış ile </w:t>
      </w:r>
      <w:r w:rsidR="00D35BE1" w:rsidRPr="00453015">
        <w:t>düşük</w:t>
      </w:r>
      <w:r w:rsidR="00C919B8" w:rsidRPr="00453015">
        <w:t xml:space="preserve"> teknolojili üretim ve yüzde </w:t>
      </w:r>
      <w:r w:rsidR="00453015" w:rsidRPr="00453015">
        <w:t>9,6’lık</w:t>
      </w:r>
      <w:r w:rsidR="00740BAC" w:rsidRPr="00453015">
        <w:t xml:space="preserve"> azalış ile </w:t>
      </w:r>
      <w:r w:rsidR="00453015" w:rsidRPr="00453015">
        <w:t>orta yüksek</w:t>
      </w:r>
      <w:r w:rsidR="00740BAC" w:rsidRPr="00453015">
        <w:t xml:space="preserve"> teknolojili üretim takip etmiştir. Yü</w:t>
      </w:r>
      <w:r w:rsidR="00315182" w:rsidRPr="00453015">
        <w:t>k</w:t>
      </w:r>
      <w:r w:rsidR="00C919B8" w:rsidRPr="00453015">
        <w:t xml:space="preserve">sek teknolojili üretim yüzde </w:t>
      </w:r>
      <w:r w:rsidR="00453015" w:rsidRPr="00453015">
        <w:t>15,3’lü</w:t>
      </w:r>
      <w:r w:rsidR="00740BAC" w:rsidRPr="00453015">
        <w:t>k artış göstermiştir.</w:t>
      </w:r>
    </w:p>
    <w:p w:rsidR="00C37F57" w:rsidRPr="004C3440" w:rsidRDefault="00C37F57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4C344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30316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D16216">
              <w:rPr>
                <w:b/>
              </w:rPr>
              <w:t>Aralık</w:t>
            </w:r>
            <w:r w:rsidR="00176D24">
              <w:rPr>
                <w:b/>
              </w:rPr>
              <w:t xml:space="preserve">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-1,2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-14,9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-7,4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-8,9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</w:t>
            </w:r>
            <w:r w:rsidR="00CA02F3">
              <w:t>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005B3" w:rsidP="006005B3">
            <w:r>
              <w:t xml:space="preserve">               </w:t>
            </w:r>
            <w:r w:rsidR="00D16216">
              <w:t>-6,4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-0,7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16216" w:rsidP="001727DA">
            <w:pPr>
              <w:jc w:val="center"/>
            </w:pPr>
            <w:r>
              <w:t>-0,3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-2,2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</w:pPr>
            <w:r>
              <w:t>-8,6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-1,4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-9,8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130316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D16216">
              <w:rPr>
                <w:b/>
              </w:rPr>
              <w:t xml:space="preserve">Aralık </w:t>
            </w:r>
            <w:r w:rsidR="00176D24">
              <w:rPr>
                <w:b/>
              </w:rPr>
              <w:t>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 xml:space="preserve">Madencilik ve </w:t>
            </w:r>
            <w:proofErr w:type="spellStart"/>
            <w:r w:rsidRPr="004D5C8C">
              <w:t>Taşocakçılığı</w:t>
            </w:r>
            <w:proofErr w:type="spellEnd"/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0,1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-2,1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-1,6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-10,8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</w:pPr>
            <w:r>
              <w:t>-1,2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-1,4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-9,8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D16216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D16216">
              <w:rPr>
                <w:b/>
              </w:rPr>
              <w:t>Aralık</w:t>
            </w:r>
            <w:r w:rsidR="00594446">
              <w:rPr>
                <w:b/>
              </w:rPr>
              <w:t xml:space="preserve"> 2018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-1,7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-9,8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-3,0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-19</w:t>
            </w:r>
            <w:r w:rsidR="00CA02F3">
              <w:t>,2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-0,6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683347" w:rsidP="00130316">
            <w:r>
              <w:t xml:space="preserve">                </w:t>
            </w:r>
            <w:r w:rsidR="00D16216">
              <w:t>-9</w:t>
            </w:r>
            <w:r w:rsidR="00CA02F3">
              <w:t>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D16216" w:rsidP="00D42512">
            <w:pPr>
              <w:jc w:val="center"/>
            </w:pPr>
            <w:r>
              <w:t>15,3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-1,4</w:t>
            </w:r>
          </w:p>
        </w:tc>
        <w:tc>
          <w:tcPr>
            <w:tcW w:w="2067" w:type="dxa"/>
            <w:noWrap/>
            <w:vAlign w:val="center"/>
          </w:tcPr>
          <w:p w:rsidR="00A23FB2" w:rsidRDefault="00D16216" w:rsidP="00D42512">
            <w:pPr>
              <w:jc w:val="center"/>
              <w:rPr>
                <w:b/>
              </w:rPr>
            </w:pPr>
            <w:r>
              <w:rPr>
                <w:b/>
              </w:rPr>
              <w:t>-9,8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90" w:rsidRDefault="00A56A90" w:rsidP="00C04441">
      <w:pPr>
        <w:spacing w:after="0" w:line="240" w:lineRule="auto"/>
      </w:pPr>
      <w:r>
        <w:separator/>
      </w:r>
    </w:p>
  </w:endnote>
  <w:endnote w:type="continuationSeparator" w:id="0">
    <w:p w:rsidR="00A56A90" w:rsidRDefault="00A56A90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541086"/>
      <w:docPartObj>
        <w:docPartGallery w:val="Page Numbers (Bottom of Page)"/>
        <w:docPartUnique/>
      </w:docPartObj>
    </w:sdtPr>
    <w:sdtContent>
      <w:p w:rsidR="00781AD6" w:rsidRDefault="00781A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1AD6" w:rsidRDefault="00781A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90" w:rsidRDefault="00A56A90" w:rsidP="00C04441">
      <w:pPr>
        <w:spacing w:after="0" w:line="240" w:lineRule="auto"/>
      </w:pPr>
      <w:r>
        <w:separator/>
      </w:r>
    </w:p>
  </w:footnote>
  <w:footnote w:type="continuationSeparator" w:id="0">
    <w:p w:rsidR="00A56A90" w:rsidRDefault="00A56A90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74D8"/>
    <w:rsid w:val="00020E22"/>
    <w:rsid w:val="0003703C"/>
    <w:rsid w:val="000449DE"/>
    <w:rsid w:val="00062D7C"/>
    <w:rsid w:val="00067493"/>
    <w:rsid w:val="000701FD"/>
    <w:rsid w:val="00070A53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3CD8"/>
    <w:rsid w:val="00160C8F"/>
    <w:rsid w:val="0017212E"/>
    <w:rsid w:val="001727DA"/>
    <w:rsid w:val="00176D24"/>
    <w:rsid w:val="0019156C"/>
    <w:rsid w:val="001A10CB"/>
    <w:rsid w:val="001A114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F30C5"/>
    <w:rsid w:val="002F6288"/>
    <w:rsid w:val="00303320"/>
    <w:rsid w:val="00315182"/>
    <w:rsid w:val="00317C4E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70B3E"/>
    <w:rsid w:val="003733E7"/>
    <w:rsid w:val="00375254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92DFF"/>
    <w:rsid w:val="004B6888"/>
    <w:rsid w:val="004C2C40"/>
    <w:rsid w:val="004C3440"/>
    <w:rsid w:val="004C54EA"/>
    <w:rsid w:val="004D5C8C"/>
    <w:rsid w:val="00517288"/>
    <w:rsid w:val="00521423"/>
    <w:rsid w:val="00522A6C"/>
    <w:rsid w:val="005405F5"/>
    <w:rsid w:val="00544D61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282B"/>
    <w:rsid w:val="006005B3"/>
    <w:rsid w:val="006020BD"/>
    <w:rsid w:val="00604091"/>
    <w:rsid w:val="00605830"/>
    <w:rsid w:val="00625E9B"/>
    <w:rsid w:val="00640824"/>
    <w:rsid w:val="00643409"/>
    <w:rsid w:val="006760A0"/>
    <w:rsid w:val="00677B0D"/>
    <w:rsid w:val="00683347"/>
    <w:rsid w:val="00685E8C"/>
    <w:rsid w:val="006A23C6"/>
    <w:rsid w:val="006A4591"/>
    <w:rsid w:val="006B2306"/>
    <w:rsid w:val="006B6AEA"/>
    <w:rsid w:val="006D41B5"/>
    <w:rsid w:val="006E77D7"/>
    <w:rsid w:val="006F0E9D"/>
    <w:rsid w:val="0070186C"/>
    <w:rsid w:val="00716E35"/>
    <w:rsid w:val="00731B2B"/>
    <w:rsid w:val="007330A1"/>
    <w:rsid w:val="00736EAB"/>
    <w:rsid w:val="00737710"/>
    <w:rsid w:val="00740BAC"/>
    <w:rsid w:val="007441EB"/>
    <w:rsid w:val="00744706"/>
    <w:rsid w:val="00756492"/>
    <w:rsid w:val="00770090"/>
    <w:rsid w:val="007700BF"/>
    <w:rsid w:val="007736BE"/>
    <w:rsid w:val="00781AD6"/>
    <w:rsid w:val="00781C4C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919E1"/>
    <w:rsid w:val="008A18D9"/>
    <w:rsid w:val="008A575D"/>
    <w:rsid w:val="008A62B9"/>
    <w:rsid w:val="008A7788"/>
    <w:rsid w:val="008C2C15"/>
    <w:rsid w:val="008C7F9E"/>
    <w:rsid w:val="008D1077"/>
    <w:rsid w:val="008E7A90"/>
    <w:rsid w:val="0090264F"/>
    <w:rsid w:val="0090458B"/>
    <w:rsid w:val="00907E0D"/>
    <w:rsid w:val="00923FD3"/>
    <w:rsid w:val="0092656D"/>
    <w:rsid w:val="009319B5"/>
    <w:rsid w:val="00932909"/>
    <w:rsid w:val="00935B34"/>
    <w:rsid w:val="009367FC"/>
    <w:rsid w:val="009373A8"/>
    <w:rsid w:val="00983006"/>
    <w:rsid w:val="009858B1"/>
    <w:rsid w:val="009A055C"/>
    <w:rsid w:val="009A6E86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22DF8"/>
    <w:rsid w:val="00A23FB2"/>
    <w:rsid w:val="00A469AB"/>
    <w:rsid w:val="00A50B41"/>
    <w:rsid w:val="00A54DF2"/>
    <w:rsid w:val="00A56A90"/>
    <w:rsid w:val="00A64065"/>
    <w:rsid w:val="00A703C9"/>
    <w:rsid w:val="00A704B3"/>
    <w:rsid w:val="00A705F6"/>
    <w:rsid w:val="00A722F2"/>
    <w:rsid w:val="00A77365"/>
    <w:rsid w:val="00A83FD3"/>
    <w:rsid w:val="00AB519D"/>
    <w:rsid w:val="00AB7627"/>
    <w:rsid w:val="00AC3550"/>
    <w:rsid w:val="00AD2065"/>
    <w:rsid w:val="00B0776B"/>
    <w:rsid w:val="00B2786A"/>
    <w:rsid w:val="00B33F14"/>
    <w:rsid w:val="00B404F2"/>
    <w:rsid w:val="00B4315C"/>
    <w:rsid w:val="00B55EB8"/>
    <w:rsid w:val="00B65F3F"/>
    <w:rsid w:val="00B74AF8"/>
    <w:rsid w:val="00B84FE9"/>
    <w:rsid w:val="00B86368"/>
    <w:rsid w:val="00B8689F"/>
    <w:rsid w:val="00B94EA9"/>
    <w:rsid w:val="00B96B22"/>
    <w:rsid w:val="00BA000A"/>
    <w:rsid w:val="00BA1F9C"/>
    <w:rsid w:val="00BA29CF"/>
    <w:rsid w:val="00BB1094"/>
    <w:rsid w:val="00BC294E"/>
    <w:rsid w:val="00BC32E0"/>
    <w:rsid w:val="00BC5F10"/>
    <w:rsid w:val="00BF1C98"/>
    <w:rsid w:val="00BF4755"/>
    <w:rsid w:val="00C04441"/>
    <w:rsid w:val="00C144CC"/>
    <w:rsid w:val="00C21D8B"/>
    <w:rsid w:val="00C37F57"/>
    <w:rsid w:val="00C55489"/>
    <w:rsid w:val="00C73ED9"/>
    <w:rsid w:val="00C75496"/>
    <w:rsid w:val="00C919B8"/>
    <w:rsid w:val="00C97AFA"/>
    <w:rsid w:val="00CA02F3"/>
    <w:rsid w:val="00CC7D5F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559DA"/>
    <w:rsid w:val="00D60CCE"/>
    <w:rsid w:val="00D72BD4"/>
    <w:rsid w:val="00D930AD"/>
    <w:rsid w:val="00DA15C9"/>
    <w:rsid w:val="00DB1389"/>
    <w:rsid w:val="00DB1F8E"/>
    <w:rsid w:val="00DC5FDC"/>
    <w:rsid w:val="00DC7A17"/>
    <w:rsid w:val="00DE7934"/>
    <w:rsid w:val="00E1280A"/>
    <w:rsid w:val="00E137FD"/>
    <w:rsid w:val="00E33EB8"/>
    <w:rsid w:val="00E37D6E"/>
    <w:rsid w:val="00E46DD4"/>
    <w:rsid w:val="00E67764"/>
    <w:rsid w:val="00E7657B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97C6A"/>
    <w:rsid w:val="00FC2597"/>
    <w:rsid w:val="00FD0F6A"/>
    <w:rsid w:val="00FE2D1A"/>
    <w:rsid w:val="00FE59CF"/>
    <w:rsid w:val="00FE7D5C"/>
    <w:rsid w:val="00FF11E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AD6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78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AD6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8\12.Aral&#305;k.2018\S&#220;E_Aral&#305;k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8\12.Aral&#305;k.2018\S&#220;E_Aral&#305;k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105.69839910389618</c:v>
                </c:pt>
                <c:pt idx="1">
                  <c:v>107.44534100526361</c:v>
                </c:pt>
                <c:pt idx="2">
                  <c:v>109.02050222200702</c:v>
                </c:pt>
                <c:pt idx="3">
                  <c:v>111.48463935134232</c:v>
                </c:pt>
                <c:pt idx="4">
                  <c:v>109.89371169605558</c:v>
                </c:pt>
                <c:pt idx="5">
                  <c:v>110.48231890818097</c:v>
                </c:pt>
                <c:pt idx="6">
                  <c:v>111.57160484141183</c:v>
                </c:pt>
                <c:pt idx="7">
                  <c:v>114.77949318149845</c:v>
                </c:pt>
                <c:pt idx="8">
                  <c:v>115.66215500638886</c:v>
                </c:pt>
                <c:pt idx="9">
                  <c:v>116.21027334281008</c:v>
                </c:pt>
                <c:pt idx="10">
                  <c:v>116.77597608893089</c:v>
                </c:pt>
                <c:pt idx="11">
                  <c:v>119.65101016595605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118.03353102493308</c:v>
                </c:pt>
                <c:pt idx="1">
                  <c:v>117.61894863155395</c:v>
                </c:pt>
                <c:pt idx="2">
                  <c:v>117.57829906180444</c:v>
                </c:pt>
                <c:pt idx="3">
                  <c:v>118.43616396867043</c:v>
                </c:pt>
                <c:pt idx="4">
                  <c:v>116.32229739427248</c:v>
                </c:pt>
                <c:pt idx="5">
                  <c:v>113.62965301920087</c:v>
                </c:pt>
                <c:pt idx="6">
                  <c:v>117.77227437242057</c:v>
                </c:pt>
                <c:pt idx="7">
                  <c:v>115.97640538633658</c:v>
                </c:pt>
                <c:pt idx="8">
                  <c:v>112.98279905631468</c:v>
                </c:pt>
                <c:pt idx="9">
                  <c:v>110.3423304895</c:v>
                </c:pt>
                <c:pt idx="10">
                  <c:v>110.0546841613095</c:v>
                </c:pt>
                <c:pt idx="11">
                  <c:v>108.46587936099394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926400"/>
        <c:axId val="173776896"/>
      </c:lineChart>
      <c:catAx>
        <c:axId val="14592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76896"/>
        <c:crosses val="autoZero"/>
        <c:auto val="1"/>
        <c:lblAlgn val="ctr"/>
        <c:lblOffset val="100"/>
        <c:noMultiLvlLbl val="0"/>
      </c:catAx>
      <c:valAx>
        <c:axId val="17377689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4592640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113.20560027308046</c:v>
                </c:pt>
                <c:pt idx="1">
                  <c:v>114.77821711609431</c:v>
                </c:pt>
                <c:pt idx="2">
                  <c:v>130.46508198163869</c:v>
                </c:pt>
                <c:pt idx="3">
                  <c:v>117.72985291502192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62752"/>
        <c:axId val="175564288"/>
      </c:lineChart>
      <c:catAx>
        <c:axId val="17556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564288"/>
        <c:crosses val="autoZero"/>
        <c:auto val="1"/>
        <c:lblAlgn val="ctr"/>
        <c:lblOffset val="100"/>
        <c:noMultiLvlLbl val="0"/>
      </c:catAx>
      <c:valAx>
        <c:axId val="1755642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7556275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433CF-34E4-42EA-8D65-64D25CA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16</cp:revision>
  <cp:lastPrinted>2019-02-19T11:21:00Z</cp:lastPrinted>
  <dcterms:created xsi:type="dcterms:W3CDTF">2019-01-22T14:10:00Z</dcterms:created>
  <dcterms:modified xsi:type="dcterms:W3CDTF">2019-02-26T11:37:00Z</dcterms:modified>
</cp:coreProperties>
</file>