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063"/>
        <w:gridCol w:w="4236"/>
      </w:tblGrid>
      <w:tr w:rsidR="00AD2065" w:rsidTr="00396C07">
        <w:trPr>
          <w:trHeight w:val="915"/>
        </w:trPr>
        <w:tc>
          <w:tcPr>
            <w:tcW w:w="5644" w:type="dxa"/>
            <w:vAlign w:val="center"/>
          </w:tcPr>
          <w:p w:rsidR="00907E0D" w:rsidRDefault="00460688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</w:t>
            </w:r>
            <w:r w:rsidR="00201049">
              <w:rPr>
                <w:rFonts w:asciiTheme="majorHAnsi" w:eastAsiaTheme="majorEastAsia" w:hAnsiTheme="majorHAnsi" w:cstheme="majorBidi"/>
                <w:sz w:val="36"/>
                <w:szCs w:val="36"/>
              </w:rPr>
              <w:t>8</w:t>
            </w:r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201049">
              <w:rPr>
                <w:rFonts w:asciiTheme="majorHAnsi" w:eastAsiaTheme="majorEastAsia" w:hAnsiTheme="majorHAnsi" w:cstheme="majorBidi"/>
                <w:sz w:val="36"/>
                <w:szCs w:val="36"/>
              </w:rPr>
              <w:t>Kasım</w:t>
            </w:r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AD2065" w:rsidRDefault="007B58E6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SANAYİ ÜRETİM ENDEKSİ</w:t>
            </w:r>
          </w:p>
        </w:tc>
        <w:tc>
          <w:tcPr>
            <w:tcW w:w="4678" w:type="dxa"/>
          </w:tcPr>
          <w:p w:rsidR="00AD2065" w:rsidRDefault="004C3440" w:rsidP="00201049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14</w:t>
            </w:r>
            <w:r w:rsidR="00BC294E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 w:rsidR="00201049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Ocak 2019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61EB7A57" wp14:editId="21C137EB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AD2065" w:rsidRPr="00EF4E45" w:rsidRDefault="004C3440" w:rsidP="00AD2065">
      <w:pPr>
        <w:rPr>
          <w:b/>
        </w:rPr>
      </w:pPr>
      <w:r>
        <w:rPr>
          <w:b/>
        </w:rPr>
        <w:t>Kasım</w:t>
      </w:r>
      <w:r w:rsidR="00A704B3">
        <w:rPr>
          <w:b/>
        </w:rPr>
        <w:t xml:space="preserve"> </w:t>
      </w:r>
      <w:r w:rsidR="00176D24">
        <w:rPr>
          <w:b/>
        </w:rPr>
        <w:t>2018</w:t>
      </w:r>
      <w:r w:rsidR="00EF4E45" w:rsidRPr="00EF4E45">
        <w:rPr>
          <w:b/>
        </w:rPr>
        <w:t xml:space="preserve"> </w:t>
      </w:r>
      <w:r w:rsidR="007B58E6">
        <w:rPr>
          <w:b/>
        </w:rPr>
        <w:t>Sanayi Üretim Endeksi’ne</w:t>
      </w:r>
      <w:r w:rsidR="00EF4E45" w:rsidRPr="00EF4E45">
        <w:rPr>
          <w:b/>
        </w:rPr>
        <w:t xml:space="preserve"> ilişkin veriler Türkiye İstat</w:t>
      </w:r>
      <w:r w:rsidR="007441EB">
        <w:rPr>
          <w:b/>
        </w:rPr>
        <w:t xml:space="preserve">istik Kurumu (TÜİK) tarafından </w:t>
      </w:r>
      <w:r>
        <w:rPr>
          <w:b/>
        </w:rPr>
        <w:t>14</w:t>
      </w:r>
      <w:r w:rsidR="00C75496">
        <w:rPr>
          <w:b/>
        </w:rPr>
        <w:t xml:space="preserve"> </w:t>
      </w:r>
      <w:r>
        <w:rPr>
          <w:b/>
        </w:rPr>
        <w:t>Ocak</w:t>
      </w:r>
      <w:r w:rsidR="00145A62">
        <w:rPr>
          <w:b/>
        </w:rPr>
        <w:t xml:space="preserve"> </w:t>
      </w:r>
      <w:r>
        <w:rPr>
          <w:b/>
        </w:rPr>
        <w:t>2019</w:t>
      </w:r>
      <w:r w:rsidR="00EF4E45" w:rsidRPr="00EF4E45">
        <w:rPr>
          <w:b/>
        </w:rPr>
        <w:t xml:space="preserve"> tarihinde yayımlandı.</w:t>
      </w:r>
    </w:p>
    <w:p w:rsidR="00DF5145" w:rsidRDefault="00EF4E45" w:rsidP="00EF4E45">
      <w:r>
        <w:t xml:space="preserve">TÜİK tarafından aylık yayımlanan </w:t>
      </w:r>
      <w:r w:rsidR="007B58E6" w:rsidRPr="007B58E6">
        <w:t>Sanayi Üretim Endeksi</w:t>
      </w:r>
      <w:r>
        <w:t>,</w:t>
      </w:r>
      <w:r w:rsidR="007B58E6">
        <w:t xml:space="preserve"> Türkiye’deki sanayi kuruluşlarının toplam üretiminin</w:t>
      </w:r>
      <w:r>
        <w:t xml:space="preserve"> zaman içindeki değişim</w:t>
      </w:r>
      <w:r w:rsidR="007B58E6">
        <w:t>i</w:t>
      </w:r>
      <w:r>
        <w:t xml:space="preserve"> hakkında bilgi vermektedir.</w:t>
      </w:r>
      <w:r w:rsidR="00522A6C" w:rsidRPr="00C04441">
        <w:rPr>
          <w:rStyle w:val="DipnotBavurusu"/>
        </w:rPr>
        <w:footnoteReference w:id="1"/>
      </w:r>
    </w:p>
    <w:p w:rsidR="0043515F" w:rsidRDefault="0043515F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 xml:space="preserve">Şekil 1: </w:t>
      </w:r>
      <w:r w:rsidR="00FD0F6A">
        <w:rPr>
          <w:rFonts w:eastAsia="Times New Roman" w:cs="Times New Roman"/>
          <w:b/>
          <w:bCs/>
          <w:kern w:val="36"/>
          <w:sz w:val="24"/>
          <w:szCs w:val="24"/>
        </w:rPr>
        <w:t xml:space="preserve">Aylara göre </w:t>
      </w:r>
      <w:r w:rsidR="00FD0F6A" w:rsidRPr="006D330B">
        <w:rPr>
          <w:rFonts w:eastAsia="Times New Roman" w:cs="Times New Roman"/>
          <w:b/>
          <w:bCs/>
          <w:kern w:val="36"/>
          <w:sz w:val="24"/>
          <w:szCs w:val="24"/>
        </w:rPr>
        <w:t>sanayi üretim endeksi</w:t>
      </w:r>
      <w:r w:rsidR="00FD0F6A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</w:p>
    <w:p w:rsidR="00130316" w:rsidRPr="006D330B" w:rsidRDefault="00FD0F6A" w:rsidP="00130316">
      <w:pPr>
        <w:ind w:firstLine="720"/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>(mevsim ve takvim</w:t>
      </w:r>
      <w:r w:rsidR="006F0E9D">
        <w:rPr>
          <w:rFonts w:eastAsia="Times New Roman" w:cs="Times New Roman"/>
          <w:b/>
          <w:bCs/>
          <w:kern w:val="36"/>
          <w:sz w:val="24"/>
          <w:szCs w:val="24"/>
        </w:rPr>
        <w:t xml:space="preserve"> etkilerinden arındırılmış, 2015</w:t>
      </w:r>
      <w:r>
        <w:rPr>
          <w:rFonts w:eastAsia="Times New Roman" w:cs="Times New Roman"/>
          <w:b/>
          <w:bCs/>
          <w:kern w:val="36"/>
          <w:sz w:val="24"/>
          <w:szCs w:val="24"/>
        </w:rPr>
        <w:t>=100)</w:t>
      </w:r>
    </w:p>
    <w:p w:rsidR="00FD0F6A" w:rsidRDefault="004C3440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</w:rPr>
      </w:pPr>
      <w:r>
        <w:rPr>
          <w:noProof/>
        </w:rPr>
        <w:drawing>
          <wp:inline distT="0" distB="0" distL="0" distR="0" wp14:anchorId="4C7CC087" wp14:editId="264FD340">
            <wp:extent cx="5972810" cy="2225040"/>
            <wp:effectExtent l="0" t="0" r="27940" b="2286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144CC" w:rsidRPr="004C2C40" w:rsidRDefault="004C2C40" w:rsidP="00C144CC">
      <w:pPr>
        <w:jc w:val="both"/>
      </w:pPr>
      <w:r w:rsidRPr="004C2C40">
        <w:t>Kasım</w:t>
      </w:r>
      <w:r w:rsidR="00574C38" w:rsidRPr="004C2C40">
        <w:t xml:space="preserve"> ayında Türkiye (TR) Geneli </w:t>
      </w:r>
      <w:r w:rsidR="007B58E6" w:rsidRPr="004C2C40">
        <w:t>Sanayi Üretim Endeksi</w:t>
      </w:r>
      <w:r w:rsidR="00574C38" w:rsidRPr="004C2C40">
        <w:t xml:space="preserve"> </w:t>
      </w:r>
      <w:r w:rsidR="00EE2F80" w:rsidRPr="004C2C40">
        <w:rPr>
          <w:b/>
          <w:u w:val="single"/>
        </w:rPr>
        <w:t>bir önceki aya (</w:t>
      </w:r>
      <w:r w:rsidRPr="004C2C40">
        <w:rPr>
          <w:b/>
          <w:u w:val="single"/>
        </w:rPr>
        <w:t>Ekim</w:t>
      </w:r>
      <w:r w:rsidR="00836230" w:rsidRPr="004C2C40">
        <w:rPr>
          <w:b/>
          <w:u w:val="single"/>
        </w:rPr>
        <w:t xml:space="preserve"> 2018</w:t>
      </w:r>
      <w:r w:rsidR="00574C38" w:rsidRPr="004C2C40">
        <w:rPr>
          <w:b/>
          <w:u w:val="single"/>
        </w:rPr>
        <w:t>) göre</w:t>
      </w:r>
      <w:r w:rsidR="00574C38" w:rsidRPr="004C2C40">
        <w:t xml:space="preserve"> yüzde </w:t>
      </w:r>
      <w:r w:rsidRPr="004C2C40">
        <w:t>0,3</w:t>
      </w:r>
      <w:r w:rsidR="00E7657B" w:rsidRPr="004C2C40">
        <w:t xml:space="preserve"> </w:t>
      </w:r>
      <w:r w:rsidR="006A4591" w:rsidRPr="004C2C40">
        <w:t xml:space="preserve">azalış </w:t>
      </w:r>
      <w:r w:rsidR="00370B3E" w:rsidRPr="004C2C40">
        <w:t>göst</w:t>
      </w:r>
      <w:r w:rsidR="004B6888" w:rsidRPr="004C2C40">
        <w:t>ermiştir</w:t>
      </w:r>
      <w:r w:rsidR="00574C38" w:rsidRPr="004C2C40">
        <w:t xml:space="preserve">. </w:t>
      </w:r>
      <w:r w:rsidRPr="004C2C40">
        <w:t>Kasım</w:t>
      </w:r>
      <w:r w:rsidR="00A703C9" w:rsidRPr="004C2C40">
        <w:t xml:space="preserve"> </w:t>
      </w:r>
      <w:r w:rsidR="006F0E9D" w:rsidRPr="004C2C40">
        <w:t>(2018</w:t>
      </w:r>
      <w:r w:rsidR="00574C38" w:rsidRPr="004C2C40">
        <w:t>) ayında</w:t>
      </w:r>
      <w:r w:rsidR="007E6746" w:rsidRPr="004C2C40">
        <w:t xml:space="preserve">ki </w:t>
      </w:r>
      <w:r w:rsidR="00390E27" w:rsidRPr="004C2C40">
        <w:t>a</w:t>
      </w:r>
      <w:r w:rsidR="00DC7A17" w:rsidRPr="004C2C40">
        <w:t>zalış</w:t>
      </w:r>
      <w:r w:rsidR="005D282B" w:rsidRPr="004C2C40">
        <w:t>ta</w:t>
      </w:r>
      <w:r w:rsidR="00DB1F8E" w:rsidRPr="004C2C40">
        <w:t xml:space="preserve"> </w:t>
      </w:r>
      <w:r w:rsidR="007E6746" w:rsidRPr="004C2C40">
        <w:t xml:space="preserve">bir önceki </w:t>
      </w:r>
      <w:r w:rsidR="0092656D" w:rsidRPr="004C2C40">
        <w:t>aya göre</w:t>
      </w:r>
      <w:r w:rsidR="00DB1F8E" w:rsidRPr="004C2C40">
        <w:t xml:space="preserve"> </w:t>
      </w:r>
      <w:r w:rsidRPr="004C2C40">
        <w:t>madencilik ve taşocakçılığı sektöründeki 3,7</w:t>
      </w:r>
      <w:r w:rsidR="00F456E2" w:rsidRPr="004C2C40">
        <w:t>’li</w:t>
      </w:r>
      <w:r w:rsidRPr="004C2C40">
        <w:t>k ve</w:t>
      </w:r>
      <w:r w:rsidR="00596375" w:rsidRPr="004C2C40">
        <w:t xml:space="preserve"> </w:t>
      </w:r>
      <w:r w:rsidRPr="004C2C40">
        <w:t xml:space="preserve">imalat sanayi </w:t>
      </w:r>
      <w:r w:rsidR="00F456E2" w:rsidRPr="004C2C40">
        <w:t>sektöründe</w:t>
      </w:r>
      <w:r w:rsidR="000F2907">
        <w:t>ki</w:t>
      </w:r>
      <w:r w:rsidRPr="004C2C40">
        <w:t xml:space="preserve"> yüzde 0,1’li</w:t>
      </w:r>
      <w:r w:rsidR="00596375" w:rsidRPr="004C2C40">
        <w:t>k</w:t>
      </w:r>
      <w:r w:rsidR="00A703C9" w:rsidRPr="004C2C40">
        <w:t xml:space="preserve"> </w:t>
      </w:r>
      <w:r w:rsidR="00DC7A17" w:rsidRPr="004C2C40">
        <w:t>azalı</w:t>
      </w:r>
      <w:r w:rsidR="00FC2597" w:rsidRPr="004C2C40">
        <w:t>şın etkili olduğu görülmektedir.</w:t>
      </w:r>
      <w:r w:rsidR="001A10CB" w:rsidRPr="004C2C40">
        <w:t xml:space="preserve"> </w:t>
      </w:r>
      <w:r w:rsidRPr="004C2C40">
        <w:t>Elektrik, gaz, buhar ve iklimlendirme üretimi ve dağıtımı sektöründe ise değişim yaşanmamıştır.</w:t>
      </w:r>
    </w:p>
    <w:p w:rsidR="007B58E6" w:rsidRPr="004C2C40" w:rsidRDefault="00C04441" w:rsidP="007B58E6">
      <w:pPr>
        <w:jc w:val="both"/>
      </w:pPr>
      <w:r w:rsidRPr="004C2C40">
        <w:t>Ana sanayi gruplarına</w:t>
      </w:r>
      <w:r w:rsidR="007B58E6" w:rsidRPr="004C2C40">
        <w:t xml:space="preserve"> bakıldığında </w:t>
      </w:r>
      <w:r w:rsidR="0003703C" w:rsidRPr="004C2C40">
        <w:t>toplam sanayi endeksindeki</w:t>
      </w:r>
      <w:r w:rsidR="00475829" w:rsidRPr="004C2C40">
        <w:t xml:space="preserve"> </w:t>
      </w:r>
      <w:r w:rsidR="00263D6B" w:rsidRPr="004C2C40">
        <w:t>azalışta</w:t>
      </w:r>
      <w:r w:rsidR="009E2652" w:rsidRPr="004C2C40">
        <w:t xml:space="preserve"> </w:t>
      </w:r>
      <w:r w:rsidR="00596375" w:rsidRPr="004C2C40">
        <w:t xml:space="preserve">ara malı, </w:t>
      </w:r>
      <w:r w:rsidR="004C2C40" w:rsidRPr="004C2C40">
        <w:t xml:space="preserve">sermaye malı </w:t>
      </w:r>
      <w:r w:rsidR="00A703C9" w:rsidRPr="004C2C40">
        <w:t xml:space="preserve">ve enerji </w:t>
      </w:r>
      <w:r w:rsidR="00482E70" w:rsidRPr="004C2C40">
        <w:t>sektöründe</w:t>
      </w:r>
      <w:r w:rsidR="00F27E6F" w:rsidRPr="004C2C40">
        <w:t xml:space="preserve"> </w:t>
      </w:r>
      <w:r w:rsidR="00736EAB" w:rsidRPr="004C2C40">
        <w:t xml:space="preserve">yaşanan </w:t>
      </w:r>
      <w:r w:rsidR="00263D6B" w:rsidRPr="004C2C40">
        <w:t>azalış</w:t>
      </w:r>
      <w:r w:rsidR="005D282B" w:rsidRPr="004C2C40">
        <w:t>ın</w:t>
      </w:r>
      <w:r w:rsidR="007B58E6" w:rsidRPr="004C2C40">
        <w:t xml:space="preserve"> etkisi oldu</w:t>
      </w:r>
      <w:r w:rsidR="00FD0F6A" w:rsidRPr="004C2C40">
        <w:t>ğu görülmektedir</w:t>
      </w:r>
      <w:r w:rsidR="00521423" w:rsidRPr="004C2C40">
        <w:t xml:space="preserve"> (</w:t>
      </w:r>
      <w:r w:rsidR="000F2907">
        <w:t>sırasıyla yüzde 1,6’lı</w:t>
      </w:r>
      <w:r w:rsidR="00A703C9" w:rsidRPr="004C2C40">
        <w:t>k</w:t>
      </w:r>
      <w:r w:rsidR="000F2907">
        <w:t xml:space="preserve">, </w:t>
      </w:r>
      <w:r w:rsidR="004C2C40" w:rsidRPr="004C2C40">
        <w:t>0,5</w:t>
      </w:r>
      <w:r w:rsidR="00596375" w:rsidRPr="004C2C40">
        <w:t>’lik</w:t>
      </w:r>
      <w:r w:rsidR="005D282B" w:rsidRPr="004C2C40">
        <w:t xml:space="preserve"> ve </w:t>
      </w:r>
      <w:r w:rsidR="004C2C40" w:rsidRPr="004C2C40">
        <w:t>0,3’lü</w:t>
      </w:r>
      <w:r w:rsidR="00B33F14" w:rsidRPr="004C2C40">
        <w:t>k</w:t>
      </w:r>
      <w:r w:rsidR="004B6888" w:rsidRPr="004C2C40">
        <w:t xml:space="preserve"> </w:t>
      </w:r>
      <w:r w:rsidR="00263D6B" w:rsidRPr="004C2C40">
        <w:t>azalı</w:t>
      </w:r>
      <w:r w:rsidR="00475829" w:rsidRPr="004C2C40">
        <w:t>ş</w:t>
      </w:r>
      <w:r w:rsidR="00F27E6F" w:rsidRPr="004C2C40">
        <w:t>lar</w:t>
      </w:r>
      <w:r w:rsidR="0003703C" w:rsidRPr="004C2C40">
        <w:t>)</w:t>
      </w:r>
      <w:r w:rsidR="007B58E6" w:rsidRPr="004C2C40">
        <w:t>.</w:t>
      </w:r>
    </w:p>
    <w:p w:rsidR="004B6888" w:rsidRDefault="00F27E6F" w:rsidP="00160C8F">
      <w:pPr>
        <w:jc w:val="both"/>
      </w:pPr>
      <w:r w:rsidRPr="004C2C40">
        <w:t>Teknoloji sınıflarına bakıldığında bir önceki aya göre</w:t>
      </w:r>
      <w:r w:rsidR="004C2C40" w:rsidRPr="004C2C40">
        <w:t xml:space="preserve"> orta</w:t>
      </w:r>
      <w:r w:rsidRPr="004C2C40">
        <w:t xml:space="preserve"> </w:t>
      </w:r>
      <w:r w:rsidR="009367FC" w:rsidRPr="004C2C40">
        <w:t>yüksek</w:t>
      </w:r>
      <w:r w:rsidR="00E67764" w:rsidRPr="004C2C40">
        <w:t xml:space="preserve"> teknolojili üretimde </w:t>
      </w:r>
      <w:r w:rsidR="00263D6B" w:rsidRPr="004C2C40">
        <w:t xml:space="preserve">yüzde </w:t>
      </w:r>
      <w:r w:rsidR="000F2907">
        <w:t>2,1</w:t>
      </w:r>
      <w:r w:rsidRPr="004C2C40">
        <w:t>’</w:t>
      </w:r>
      <w:r w:rsidR="000F2907">
        <w:t>li</w:t>
      </w:r>
      <w:r w:rsidR="00E67764" w:rsidRPr="004C2C40">
        <w:t>k</w:t>
      </w:r>
      <w:r w:rsidR="004C2C40" w:rsidRPr="004C2C40">
        <w:t xml:space="preserve"> ve düşük teknolojili üretimde yüzde 0,9’luk</w:t>
      </w:r>
      <w:r w:rsidR="00BA29CF" w:rsidRPr="004C2C40">
        <w:t xml:space="preserve"> artış olduğu görülmektedir.</w:t>
      </w:r>
      <w:r w:rsidR="00A22DF8" w:rsidRPr="004C2C40">
        <w:t xml:space="preserve"> </w:t>
      </w:r>
      <w:r w:rsidR="004C2C40" w:rsidRPr="004C2C40">
        <w:t>Y</w:t>
      </w:r>
      <w:r w:rsidR="00BA29CF" w:rsidRPr="004C2C40">
        <w:t>ükse</w:t>
      </w:r>
      <w:r w:rsidR="008919E1" w:rsidRPr="004C2C40">
        <w:t>k</w:t>
      </w:r>
      <w:r w:rsidR="001A10CB" w:rsidRPr="004C2C40">
        <w:t xml:space="preserve"> </w:t>
      </w:r>
      <w:r w:rsidRPr="004C2C40">
        <w:t>teknoloji</w:t>
      </w:r>
      <w:r w:rsidR="005B7F6F" w:rsidRPr="004C2C40">
        <w:t>li</w:t>
      </w:r>
      <w:r w:rsidRPr="004C2C40">
        <w:t xml:space="preserve"> üretimde</w:t>
      </w:r>
      <w:r w:rsidR="00E67764" w:rsidRPr="004C2C40">
        <w:t xml:space="preserve"> </w:t>
      </w:r>
      <w:r w:rsidR="008E7A90" w:rsidRPr="004C2C40">
        <w:t xml:space="preserve">yüzde </w:t>
      </w:r>
      <w:r w:rsidR="004C2C40" w:rsidRPr="004C2C40">
        <w:t>3,5’li</w:t>
      </w:r>
      <w:r w:rsidRPr="004C2C40">
        <w:t>k</w:t>
      </w:r>
      <w:r w:rsidR="004C2C40" w:rsidRPr="004C2C40">
        <w:t xml:space="preserve"> ve orta düşük teknolojili üretimde 2,4</w:t>
      </w:r>
      <w:r w:rsidR="00BA29CF" w:rsidRPr="004C2C40">
        <w:t xml:space="preserve">’lük </w:t>
      </w:r>
      <w:r w:rsidR="00801E07" w:rsidRPr="004C2C40">
        <w:t>azalı</w:t>
      </w:r>
      <w:r w:rsidR="00A22DF8" w:rsidRPr="004C2C40">
        <w:t>ş</w:t>
      </w:r>
      <w:r w:rsidR="008E7A90" w:rsidRPr="004C2C40">
        <w:t xml:space="preserve"> </w:t>
      </w:r>
      <w:r w:rsidR="001A10CB" w:rsidRPr="004C2C40">
        <w:t>yaşanmıştır.</w:t>
      </w:r>
      <w:r w:rsidR="00E67764">
        <w:t xml:space="preserve"> </w:t>
      </w:r>
      <w:r>
        <w:t xml:space="preserve"> </w:t>
      </w:r>
    </w:p>
    <w:p w:rsidR="00737710" w:rsidRDefault="00737710" w:rsidP="00737710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9C6262" w:rsidRDefault="009C6262" w:rsidP="00737710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737710" w:rsidRDefault="00737710" w:rsidP="00737710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lastRenderedPageBreak/>
        <w:t xml:space="preserve">Şekil 2: </w:t>
      </w:r>
      <w:r w:rsidRPr="004D5C8C">
        <w:rPr>
          <w:rFonts w:eastAsia="Times New Roman" w:cs="Times New Roman"/>
          <w:b/>
          <w:bCs/>
          <w:kern w:val="36"/>
          <w:sz w:val="24"/>
          <w:szCs w:val="24"/>
        </w:rPr>
        <w:t xml:space="preserve">Yıllara göre </w:t>
      </w:r>
      <w:r w:rsidR="004C3440">
        <w:rPr>
          <w:rFonts w:eastAsia="Times New Roman" w:cs="Times New Roman"/>
          <w:b/>
          <w:bCs/>
          <w:kern w:val="36"/>
          <w:sz w:val="24"/>
          <w:szCs w:val="24"/>
        </w:rPr>
        <w:t>Kasım</w:t>
      </w:r>
      <w:r w:rsidR="00232DD2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  <w:r w:rsidRPr="004D5C8C">
        <w:rPr>
          <w:rFonts w:eastAsia="Times New Roman" w:cs="Times New Roman"/>
          <w:b/>
          <w:bCs/>
          <w:kern w:val="36"/>
          <w:sz w:val="24"/>
          <w:szCs w:val="24"/>
        </w:rPr>
        <w:t xml:space="preserve">ayları itibariyle sanayi üretim endeksi </w:t>
      </w:r>
    </w:p>
    <w:p w:rsidR="00737710" w:rsidRDefault="00737710" w:rsidP="00737710">
      <w:pPr>
        <w:ind w:firstLine="720"/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 w:rsidRPr="004D5C8C">
        <w:rPr>
          <w:rFonts w:eastAsia="Times New Roman" w:cs="Times New Roman"/>
          <w:b/>
          <w:bCs/>
          <w:kern w:val="36"/>
          <w:sz w:val="24"/>
          <w:szCs w:val="24"/>
        </w:rPr>
        <w:t xml:space="preserve">(takvim etkisinden arındırılmış, </w:t>
      </w:r>
      <w:r>
        <w:rPr>
          <w:rFonts w:eastAsia="Times New Roman" w:cs="Times New Roman"/>
          <w:b/>
          <w:bCs/>
          <w:kern w:val="36"/>
          <w:sz w:val="24"/>
          <w:szCs w:val="24"/>
        </w:rPr>
        <w:t>2015</w:t>
      </w:r>
      <w:r w:rsidRPr="004D5C8C">
        <w:rPr>
          <w:rFonts w:eastAsia="Times New Roman" w:cs="Times New Roman"/>
          <w:b/>
          <w:bCs/>
          <w:kern w:val="36"/>
          <w:sz w:val="24"/>
          <w:szCs w:val="24"/>
        </w:rPr>
        <w:t>=100)</w:t>
      </w:r>
    </w:p>
    <w:p w:rsidR="004C3440" w:rsidRPr="004D5C8C" w:rsidRDefault="004C3440" w:rsidP="004C3440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noProof/>
        </w:rPr>
        <w:drawing>
          <wp:inline distT="0" distB="0" distL="0" distR="0" wp14:anchorId="1CDF4CB9" wp14:editId="3D8F29A7">
            <wp:extent cx="5972810" cy="2683510"/>
            <wp:effectExtent l="0" t="0" r="27940" b="21590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F11E1" w:rsidRPr="00FF11E1" w:rsidRDefault="00160C8F" w:rsidP="00160C8F">
      <w:pPr>
        <w:jc w:val="both"/>
      </w:pPr>
      <w:r w:rsidRPr="00FF11E1">
        <w:t xml:space="preserve">Endeks </w:t>
      </w:r>
      <w:r w:rsidRPr="00FF11E1">
        <w:rPr>
          <w:b/>
          <w:u w:val="single"/>
        </w:rPr>
        <w:t>bir önceki yılın aynı ayına göre</w:t>
      </w:r>
      <w:r w:rsidRPr="00FF11E1">
        <w:t xml:space="preserve"> yüzde </w:t>
      </w:r>
      <w:r w:rsidR="00FF11E1" w:rsidRPr="00FF11E1">
        <w:t>6,5</w:t>
      </w:r>
      <w:r w:rsidR="008A62B9" w:rsidRPr="00FF11E1">
        <w:t xml:space="preserve"> </w:t>
      </w:r>
      <w:r w:rsidRPr="00FF11E1">
        <w:t xml:space="preserve">oranında </w:t>
      </w:r>
      <w:r w:rsidR="001476B3" w:rsidRPr="00FF11E1">
        <w:t>azalış</w:t>
      </w:r>
      <w:r w:rsidR="00756492" w:rsidRPr="00FF11E1">
        <w:t xml:space="preserve"> </w:t>
      </w:r>
      <w:r w:rsidRPr="00FF11E1">
        <w:t xml:space="preserve">göstermiştir. </w:t>
      </w:r>
      <w:r w:rsidR="00FF11E1" w:rsidRPr="00FF11E1">
        <w:t>Kasım</w:t>
      </w:r>
      <w:r w:rsidR="00153CD8" w:rsidRPr="00FF11E1">
        <w:t xml:space="preserve"> </w:t>
      </w:r>
      <w:r w:rsidR="009E5A0A" w:rsidRPr="00FF11E1">
        <w:t>(2018</w:t>
      </w:r>
      <w:r w:rsidRPr="00FF11E1">
        <w:t xml:space="preserve">) ayında önceki yıla göre ana sanayi </w:t>
      </w:r>
      <w:r w:rsidR="00C04441" w:rsidRPr="00FF11E1">
        <w:t>sektörleri</w:t>
      </w:r>
      <w:r w:rsidR="001476B3" w:rsidRPr="00FF11E1">
        <w:t xml:space="preserve"> itibariyle en yüksek azalış</w:t>
      </w:r>
      <w:r w:rsidRPr="00FF11E1">
        <w:t xml:space="preserve"> </w:t>
      </w:r>
      <w:r w:rsidR="00FF11E1" w:rsidRPr="00FF11E1">
        <w:t>yüzde 7,1</w:t>
      </w:r>
      <w:r w:rsidR="001476B3" w:rsidRPr="00FF11E1">
        <w:t xml:space="preserve"> </w:t>
      </w:r>
      <w:r w:rsidR="005A54BA" w:rsidRPr="00FF11E1">
        <w:t>ile</w:t>
      </w:r>
      <w:r w:rsidR="001476B3" w:rsidRPr="00FF11E1">
        <w:t xml:space="preserve"> imala</w:t>
      </w:r>
      <w:r w:rsidR="0090264F" w:rsidRPr="00FF11E1">
        <w:t>t sanayi sektöründe gerçekleşmiştir.</w:t>
      </w:r>
      <w:r w:rsidR="005A54BA" w:rsidRPr="00FF11E1">
        <w:t xml:space="preserve"> </w:t>
      </w:r>
      <w:r w:rsidR="002D4D88" w:rsidRPr="00FF11E1">
        <w:t>B</w:t>
      </w:r>
      <w:r w:rsidR="00DA15C9" w:rsidRPr="00FF11E1">
        <w:t xml:space="preserve">u sektörü, </w:t>
      </w:r>
      <w:r w:rsidR="00FF11E1" w:rsidRPr="00FF11E1">
        <w:t>yüzde 1,8</w:t>
      </w:r>
      <w:r w:rsidR="001476B3" w:rsidRPr="00FF11E1">
        <w:t xml:space="preserve"> azalış</w:t>
      </w:r>
      <w:r w:rsidR="00DA15C9" w:rsidRPr="00FF11E1">
        <w:t xml:space="preserve">la </w:t>
      </w:r>
      <w:r w:rsidR="00233F90" w:rsidRPr="00FF11E1">
        <w:t xml:space="preserve">elektrik, gaz, buhar ve iklimlendirme üretimi ve dağıtımı </w:t>
      </w:r>
      <w:r w:rsidR="00FF11E1" w:rsidRPr="00FF11E1">
        <w:t xml:space="preserve">ve yüzde 1,1 azalışla </w:t>
      </w:r>
      <w:r w:rsidR="001476B3" w:rsidRPr="00FF11E1">
        <w:t>madenc</w:t>
      </w:r>
      <w:r w:rsidR="00FF11E1" w:rsidRPr="00FF11E1">
        <w:t>ilik ve taşocakçılığı sektörleri</w:t>
      </w:r>
      <w:r w:rsidR="001476B3" w:rsidRPr="00FF11E1">
        <w:t xml:space="preserve"> </w:t>
      </w:r>
      <w:r w:rsidR="00FF11E1" w:rsidRPr="00FF11E1">
        <w:t xml:space="preserve">takip etmiştir.  </w:t>
      </w:r>
    </w:p>
    <w:p w:rsidR="00153CD8" w:rsidRPr="00C919B8" w:rsidRDefault="00C04441" w:rsidP="00160C8F">
      <w:pPr>
        <w:jc w:val="both"/>
      </w:pPr>
      <w:r w:rsidRPr="00C919B8">
        <w:t>Ana sanayi gruplarına</w:t>
      </w:r>
      <w:r w:rsidR="00160C8F" w:rsidRPr="00C919B8">
        <w:t xml:space="preserve"> bakıldığında</w:t>
      </w:r>
      <w:r w:rsidR="00D72BD4" w:rsidRPr="00C919B8">
        <w:t>,</w:t>
      </w:r>
      <w:r w:rsidRPr="00C919B8">
        <w:t xml:space="preserve"> </w:t>
      </w:r>
      <w:r w:rsidR="00FF11E1" w:rsidRPr="00C919B8">
        <w:t>ara malı imalatında yüzde 11,9’lu</w:t>
      </w:r>
      <w:r w:rsidR="009C6424" w:rsidRPr="00C919B8">
        <w:t>k,</w:t>
      </w:r>
      <w:r w:rsidR="00983006" w:rsidRPr="00C919B8">
        <w:t xml:space="preserve"> </w:t>
      </w:r>
      <w:r w:rsidR="0090264F" w:rsidRPr="00C919B8">
        <w:t>sermaye malı imalatında yü</w:t>
      </w:r>
      <w:r w:rsidR="00FF11E1" w:rsidRPr="00C919B8">
        <w:t>zde 8,3’lü</w:t>
      </w:r>
      <w:r w:rsidR="00744706">
        <w:t>k ve</w:t>
      </w:r>
      <w:r w:rsidR="00983006" w:rsidRPr="00C919B8">
        <w:t xml:space="preserve"> </w:t>
      </w:r>
      <w:r w:rsidR="0090264F" w:rsidRPr="00C919B8">
        <w:t>dayanıksız tüketim malı</w:t>
      </w:r>
      <w:r w:rsidR="008A18D9" w:rsidRPr="00C919B8">
        <w:t xml:space="preserve"> </w:t>
      </w:r>
      <w:r w:rsidR="00740BAC" w:rsidRPr="00C919B8">
        <w:t>imalatında yüzd</w:t>
      </w:r>
      <w:r w:rsidR="00FF11E1" w:rsidRPr="00C919B8">
        <w:t>e 2,8</w:t>
      </w:r>
      <w:r w:rsidR="008A18D9" w:rsidRPr="00C919B8">
        <w:t>’</w:t>
      </w:r>
      <w:r w:rsidR="00FF11E1" w:rsidRPr="00C919B8">
        <w:t>li</w:t>
      </w:r>
      <w:r w:rsidR="00740BAC" w:rsidRPr="00C919B8">
        <w:t>k</w:t>
      </w:r>
      <w:r w:rsidR="0090264F" w:rsidRPr="00C919B8">
        <w:t xml:space="preserve"> </w:t>
      </w:r>
      <w:r w:rsidR="00740BAC" w:rsidRPr="00C919B8">
        <w:t>azalı</w:t>
      </w:r>
      <w:r w:rsidR="00153CD8" w:rsidRPr="00C919B8">
        <w:t>ş yaşanmıştır.</w:t>
      </w:r>
      <w:r w:rsidR="003D666D" w:rsidRPr="00C919B8">
        <w:t xml:space="preserve"> </w:t>
      </w:r>
    </w:p>
    <w:p w:rsidR="00737710" w:rsidRPr="00C919B8" w:rsidRDefault="009E5A0A" w:rsidP="00740BAC">
      <w:pPr>
        <w:jc w:val="both"/>
      </w:pPr>
      <w:r w:rsidRPr="00C919B8">
        <w:t xml:space="preserve">Bir önceki yılın aynı ayına göre değişime teknoloji sınıflarına göre bakıldığında </w:t>
      </w:r>
      <w:r w:rsidR="00740BAC" w:rsidRPr="00C919B8">
        <w:t>en yüksek azalışın</w:t>
      </w:r>
      <w:r w:rsidR="00580464" w:rsidRPr="00C919B8">
        <w:t xml:space="preserve"> yüzde </w:t>
      </w:r>
      <w:r w:rsidR="00C919B8" w:rsidRPr="00C919B8">
        <w:t>14,2</w:t>
      </w:r>
      <w:r w:rsidR="00315182" w:rsidRPr="00C919B8">
        <w:t>’li</w:t>
      </w:r>
      <w:r w:rsidR="00740BAC" w:rsidRPr="00C919B8">
        <w:t xml:space="preserve">k azalışla orta düşük teknolojili üretimde </w:t>
      </w:r>
      <w:r w:rsidR="008A18D9" w:rsidRPr="00C919B8">
        <w:t xml:space="preserve">olduğu </w:t>
      </w:r>
      <w:r w:rsidR="008111C1" w:rsidRPr="00C919B8">
        <w:t>görülmektedir.</w:t>
      </w:r>
      <w:r w:rsidR="00740BAC" w:rsidRPr="00C919B8">
        <w:t xml:space="preserve"> Orta d</w:t>
      </w:r>
      <w:r w:rsidR="00315182" w:rsidRPr="00C919B8">
        <w:t>üş</w:t>
      </w:r>
      <w:r w:rsidR="00C919B8" w:rsidRPr="00C919B8">
        <w:t>ük teknolojili üretimi yüzde 7,6’lı</w:t>
      </w:r>
      <w:r w:rsidR="00740BAC" w:rsidRPr="00C919B8">
        <w:t>k azalış ile orta yüksek</w:t>
      </w:r>
      <w:r w:rsidR="00C919B8" w:rsidRPr="00C919B8">
        <w:t xml:space="preserve"> teknolojili üretim ve yüzde 3,5</w:t>
      </w:r>
      <w:r w:rsidR="00315182" w:rsidRPr="00C919B8">
        <w:t>’li</w:t>
      </w:r>
      <w:r w:rsidR="00740BAC" w:rsidRPr="00C919B8">
        <w:t>k azalış ile düşük teknolojili üretim takip etmiştir. Yü</w:t>
      </w:r>
      <w:r w:rsidR="00315182" w:rsidRPr="00C919B8">
        <w:t>k</w:t>
      </w:r>
      <w:r w:rsidR="00C919B8" w:rsidRPr="00C919B8">
        <w:t>sek teknolojili üretim yüzde 5,9’lu</w:t>
      </w:r>
      <w:r w:rsidR="00740BAC" w:rsidRPr="00C919B8">
        <w:t>k artış göstermiştir.</w:t>
      </w:r>
    </w:p>
    <w:p w:rsidR="00C37F57" w:rsidRPr="004C3440" w:rsidRDefault="00C37F57" w:rsidP="00740BAC">
      <w:pPr>
        <w:jc w:val="both"/>
        <w:rPr>
          <w:rFonts w:eastAsia="Times New Roman" w:cs="Times New Roman"/>
          <w:b/>
          <w:bCs/>
          <w:kern w:val="36"/>
          <w:sz w:val="28"/>
          <w:szCs w:val="24"/>
          <w:highlight w:val="yellow"/>
        </w:rPr>
      </w:pPr>
    </w:p>
    <w:p w:rsidR="00737710" w:rsidRPr="004C3440" w:rsidRDefault="00737710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  <w:highlight w:val="yellow"/>
        </w:rPr>
      </w:pPr>
    </w:p>
    <w:p w:rsidR="009C6262" w:rsidRPr="004C3440" w:rsidRDefault="009C6262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  <w:highlight w:val="yellow"/>
        </w:rPr>
      </w:pPr>
    </w:p>
    <w:p w:rsidR="009C6262" w:rsidRDefault="009C6262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  <w:highlight w:val="yellow"/>
        </w:rPr>
      </w:pPr>
    </w:p>
    <w:p w:rsidR="003D666D" w:rsidRDefault="003D666D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  <w:highlight w:val="yellow"/>
        </w:rPr>
      </w:pPr>
    </w:p>
    <w:p w:rsidR="00A703C9" w:rsidRPr="00CF56CB" w:rsidRDefault="00A703C9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  <w:highlight w:val="yellow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10"/>
        <w:gridCol w:w="2153"/>
        <w:gridCol w:w="2067"/>
      </w:tblGrid>
      <w:tr w:rsidR="00160C8F" w:rsidRPr="004D5C8C" w:rsidTr="00DB1389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130316">
            <w:pPr>
              <w:jc w:val="both"/>
            </w:pPr>
            <w:r w:rsidRPr="004D5C8C">
              <w:rPr>
                <w:b/>
              </w:rPr>
              <w:lastRenderedPageBreak/>
              <w:t xml:space="preserve">Tablo 1: Sanayi Üretim Endeksi Büyüme Oranları,  </w:t>
            </w:r>
            <w:r w:rsidR="004C3440">
              <w:rPr>
                <w:b/>
              </w:rPr>
              <w:t>Kasım</w:t>
            </w:r>
            <w:r w:rsidR="00176D24">
              <w:rPr>
                <w:b/>
              </w:rPr>
              <w:t xml:space="preserve"> 2018</w:t>
            </w:r>
          </w:p>
        </w:tc>
        <w:tc>
          <w:tcPr>
            <w:tcW w:w="2153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Önceki Aya Göre</w:t>
            </w:r>
            <w:r w:rsidR="00923FD3" w:rsidRPr="004D5C8C">
              <w:t xml:space="preserve"> (%)</w:t>
            </w:r>
          </w:p>
        </w:tc>
        <w:tc>
          <w:tcPr>
            <w:tcW w:w="2067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Önceki Yıla Göre</w:t>
            </w:r>
            <w:r w:rsidR="00923FD3" w:rsidRPr="004D5C8C">
              <w:t xml:space="preserve"> (%)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Ara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4C3440" w:rsidP="00D42512">
            <w:pPr>
              <w:jc w:val="center"/>
            </w:pPr>
            <w:r>
              <w:t>-1,6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CA02F3" w:rsidP="00D42512">
            <w:pPr>
              <w:jc w:val="center"/>
            </w:pPr>
            <w:r>
              <w:t>-11,9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Dayanıklı Tüketim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4C3440" w:rsidP="00D42512">
            <w:pPr>
              <w:jc w:val="center"/>
            </w:pPr>
            <w:r>
              <w:t>7,6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CA02F3" w:rsidP="00D42512">
            <w:pPr>
              <w:jc w:val="center"/>
            </w:pPr>
            <w:r>
              <w:t>10,0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Dayanıksız Tüketim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CA02F3" w:rsidP="00D42512">
            <w:pPr>
              <w:jc w:val="center"/>
            </w:pPr>
            <w:r>
              <w:t>0,4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6005B3" w:rsidP="006005B3">
            <w:r>
              <w:t xml:space="preserve">               </w:t>
            </w:r>
            <w:r w:rsidR="00CA02F3">
              <w:t>-2,8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Enerji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CA02F3" w:rsidP="00D42512">
            <w:pPr>
              <w:jc w:val="center"/>
            </w:pPr>
            <w:r>
              <w:t>-0,3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CA02F3" w:rsidP="001727DA">
            <w:pPr>
              <w:jc w:val="center"/>
            </w:pPr>
            <w:r>
              <w:t>0,7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Sermaye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CA02F3" w:rsidP="00D42512">
            <w:pPr>
              <w:jc w:val="center"/>
            </w:pPr>
            <w:r>
              <w:t>-0,5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CA02F3" w:rsidP="00D42512">
            <w:pPr>
              <w:jc w:val="center"/>
            </w:pPr>
            <w:r>
              <w:t>-8,3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  <w:rPr>
                <w:b/>
              </w:rPr>
            </w:pPr>
            <w:r w:rsidRPr="004D5C8C">
              <w:rPr>
                <w:b/>
              </w:rPr>
              <w:t>TOPLAM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4C3440" w:rsidP="00D42512">
            <w:pPr>
              <w:jc w:val="center"/>
              <w:rPr>
                <w:b/>
              </w:rPr>
            </w:pPr>
            <w:r>
              <w:rPr>
                <w:b/>
              </w:rPr>
              <w:t>-0,3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CA02F3" w:rsidP="00D42512">
            <w:pPr>
              <w:jc w:val="center"/>
              <w:rPr>
                <w:b/>
              </w:rPr>
            </w:pPr>
            <w:r>
              <w:rPr>
                <w:b/>
              </w:rPr>
              <w:t>-6,5</w:t>
            </w:r>
          </w:p>
        </w:tc>
      </w:tr>
      <w:tr w:rsidR="0043515F" w:rsidRPr="004D5C8C" w:rsidTr="00A23FB2">
        <w:trPr>
          <w:trHeight w:val="264"/>
        </w:trPr>
        <w:tc>
          <w:tcPr>
            <w:tcW w:w="4110" w:type="dxa"/>
            <w:shd w:val="clear" w:color="auto" w:fill="808080" w:themeFill="background1" w:themeFillShade="80"/>
            <w:noWrap/>
            <w:hideMark/>
          </w:tcPr>
          <w:p w:rsidR="0043515F" w:rsidRPr="004D5C8C" w:rsidRDefault="0043515F" w:rsidP="004D5C8C">
            <w:pPr>
              <w:jc w:val="both"/>
              <w:rPr>
                <w:b/>
              </w:rPr>
            </w:pPr>
          </w:p>
        </w:tc>
        <w:tc>
          <w:tcPr>
            <w:tcW w:w="2153" w:type="dxa"/>
            <w:shd w:val="clear" w:color="auto" w:fill="808080" w:themeFill="background1" w:themeFillShade="80"/>
            <w:noWrap/>
            <w:hideMark/>
          </w:tcPr>
          <w:p w:rsidR="0043515F" w:rsidRPr="004D5C8C" w:rsidRDefault="0043515F" w:rsidP="00316F1D">
            <w:pPr>
              <w:jc w:val="both"/>
            </w:pPr>
          </w:p>
        </w:tc>
        <w:tc>
          <w:tcPr>
            <w:tcW w:w="2067" w:type="dxa"/>
            <w:shd w:val="clear" w:color="auto" w:fill="808080" w:themeFill="background1" w:themeFillShade="80"/>
            <w:noWrap/>
            <w:hideMark/>
          </w:tcPr>
          <w:p w:rsidR="0043515F" w:rsidRPr="004D5C8C" w:rsidRDefault="0043515F" w:rsidP="00316F1D">
            <w:pPr>
              <w:jc w:val="both"/>
            </w:pPr>
          </w:p>
        </w:tc>
      </w:tr>
      <w:tr w:rsidR="00160C8F" w:rsidRPr="004D5C8C" w:rsidTr="003F2715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E7657B" w:rsidP="00130316">
            <w:pPr>
              <w:jc w:val="both"/>
            </w:pPr>
            <w:r>
              <w:rPr>
                <w:b/>
              </w:rPr>
              <w:t xml:space="preserve">Tablo 2: Sanayi Üretim Endeksi </w:t>
            </w:r>
            <w:r w:rsidR="00160C8F" w:rsidRPr="004D5C8C">
              <w:rPr>
                <w:b/>
              </w:rPr>
              <w:t xml:space="preserve">Sektörel Büyüme Oranları, </w:t>
            </w:r>
            <w:r w:rsidR="004C3440">
              <w:rPr>
                <w:b/>
              </w:rPr>
              <w:t>Kasım</w:t>
            </w:r>
            <w:r w:rsidR="00683347">
              <w:rPr>
                <w:b/>
              </w:rPr>
              <w:t xml:space="preserve"> </w:t>
            </w:r>
            <w:r w:rsidR="00176D24">
              <w:rPr>
                <w:b/>
              </w:rPr>
              <w:t>2018</w:t>
            </w:r>
          </w:p>
        </w:tc>
        <w:tc>
          <w:tcPr>
            <w:tcW w:w="2153" w:type="dxa"/>
            <w:noWrap/>
            <w:hideMark/>
          </w:tcPr>
          <w:p w:rsidR="00160C8F" w:rsidRPr="004D5C8C" w:rsidRDefault="00160C8F" w:rsidP="00316F1D">
            <w:pPr>
              <w:jc w:val="both"/>
            </w:pPr>
            <w:r w:rsidRPr="004D5C8C">
              <w:t>Önceki Aya Göre</w:t>
            </w:r>
            <w:r w:rsidR="008A575D" w:rsidRPr="004D5C8C">
              <w:t xml:space="preserve"> (%)</w:t>
            </w:r>
          </w:p>
        </w:tc>
        <w:tc>
          <w:tcPr>
            <w:tcW w:w="2067" w:type="dxa"/>
            <w:noWrap/>
            <w:hideMark/>
          </w:tcPr>
          <w:p w:rsidR="00160C8F" w:rsidRPr="004D5C8C" w:rsidRDefault="00160C8F" w:rsidP="00316F1D">
            <w:pPr>
              <w:jc w:val="both"/>
            </w:pPr>
            <w:r w:rsidRPr="004D5C8C">
              <w:t>Önceki Yıla Göre</w:t>
            </w:r>
            <w:r w:rsidR="008A575D" w:rsidRPr="004D5C8C">
              <w:t xml:space="preserve"> (%)</w:t>
            </w:r>
          </w:p>
        </w:tc>
      </w:tr>
      <w:tr w:rsidR="00160C8F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160C8F">
            <w:r w:rsidRPr="004D5C8C">
              <w:t>Madencilik ve Taşocakçılığı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CA02F3" w:rsidP="00D42512">
            <w:pPr>
              <w:jc w:val="center"/>
            </w:pPr>
            <w:r>
              <w:t>-3,7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D5C8C" w:rsidRDefault="00CA02F3" w:rsidP="00D42512">
            <w:pPr>
              <w:jc w:val="center"/>
            </w:pPr>
            <w:r>
              <w:t>-1,1</w:t>
            </w:r>
          </w:p>
        </w:tc>
      </w:tr>
      <w:tr w:rsidR="00160C8F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İmalat Sanayi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CA02F3" w:rsidP="00D42512">
            <w:pPr>
              <w:jc w:val="center"/>
            </w:pPr>
            <w:r>
              <w:t>-0,1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D5C8C" w:rsidRDefault="00CA02F3" w:rsidP="00D42512">
            <w:pPr>
              <w:jc w:val="center"/>
            </w:pPr>
            <w:r>
              <w:t>-7,1</w:t>
            </w:r>
          </w:p>
        </w:tc>
      </w:tr>
      <w:tr w:rsidR="00160C8F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Elektrik, Gaz, Buhar ve İklimlendirme Üretimi ve Dağıtımı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CA02F3" w:rsidP="00D42512">
            <w:pPr>
              <w:jc w:val="center"/>
            </w:pPr>
            <w:r>
              <w:t>0,0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D5C8C" w:rsidRDefault="00CA02F3" w:rsidP="00D42512">
            <w:pPr>
              <w:jc w:val="center"/>
            </w:pPr>
            <w:r>
              <w:t>-1,8</w:t>
            </w:r>
          </w:p>
        </w:tc>
      </w:tr>
      <w:tr w:rsidR="00160C8F" w:rsidRPr="00160C8F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316F1D">
            <w:pPr>
              <w:jc w:val="both"/>
              <w:rPr>
                <w:b/>
              </w:rPr>
            </w:pPr>
            <w:r w:rsidRPr="004D5C8C">
              <w:rPr>
                <w:b/>
              </w:rPr>
              <w:t>TOPLAM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4C3440" w:rsidP="00D42512">
            <w:pPr>
              <w:jc w:val="center"/>
              <w:rPr>
                <w:b/>
              </w:rPr>
            </w:pPr>
            <w:r>
              <w:rPr>
                <w:b/>
              </w:rPr>
              <w:t>-0,3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24CC0" w:rsidRDefault="00CA02F3" w:rsidP="00D42512">
            <w:pPr>
              <w:jc w:val="center"/>
              <w:rPr>
                <w:b/>
              </w:rPr>
            </w:pPr>
            <w:r>
              <w:rPr>
                <w:b/>
              </w:rPr>
              <w:t>-6,5</w:t>
            </w:r>
          </w:p>
        </w:tc>
      </w:tr>
      <w:tr w:rsidR="00A23FB2" w:rsidRPr="00160C8F" w:rsidTr="00A23FB2">
        <w:trPr>
          <w:trHeight w:val="264"/>
        </w:trPr>
        <w:tc>
          <w:tcPr>
            <w:tcW w:w="4110" w:type="dxa"/>
            <w:shd w:val="clear" w:color="auto" w:fill="808080" w:themeFill="background1" w:themeFillShade="80"/>
            <w:noWrap/>
          </w:tcPr>
          <w:p w:rsidR="00A23FB2" w:rsidRPr="004D5C8C" w:rsidRDefault="00A23FB2" w:rsidP="00316F1D">
            <w:pPr>
              <w:jc w:val="both"/>
              <w:rPr>
                <w:b/>
              </w:rPr>
            </w:pPr>
          </w:p>
        </w:tc>
        <w:tc>
          <w:tcPr>
            <w:tcW w:w="2153" w:type="dxa"/>
            <w:shd w:val="clear" w:color="auto" w:fill="808080" w:themeFill="background1" w:themeFillShade="80"/>
            <w:noWrap/>
            <w:vAlign w:val="center"/>
          </w:tcPr>
          <w:p w:rsidR="00A23FB2" w:rsidRDefault="00A23FB2" w:rsidP="00D42512">
            <w:pPr>
              <w:jc w:val="center"/>
              <w:rPr>
                <w:b/>
              </w:rPr>
            </w:pPr>
          </w:p>
        </w:tc>
        <w:tc>
          <w:tcPr>
            <w:tcW w:w="2067" w:type="dxa"/>
            <w:shd w:val="clear" w:color="auto" w:fill="808080" w:themeFill="background1" w:themeFillShade="80"/>
            <w:noWrap/>
            <w:vAlign w:val="center"/>
          </w:tcPr>
          <w:p w:rsidR="00A23FB2" w:rsidRDefault="00A23FB2" w:rsidP="00D42512">
            <w:pPr>
              <w:jc w:val="center"/>
              <w:rPr>
                <w:b/>
              </w:rPr>
            </w:pPr>
          </w:p>
        </w:tc>
      </w:tr>
      <w:tr w:rsidR="00A23FB2" w:rsidRPr="00160C8F" w:rsidTr="000872D4">
        <w:trPr>
          <w:trHeight w:val="264"/>
        </w:trPr>
        <w:tc>
          <w:tcPr>
            <w:tcW w:w="4110" w:type="dxa"/>
            <w:noWrap/>
          </w:tcPr>
          <w:p w:rsidR="00A23FB2" w:rsidRPr="004D5C8C" w:rsidRDefault="00A23FB2" w:rsidP="00130316">
            <w:pPr>
              <w:jc w:val="both"/>
              <w:rPr>
                <w:b/>
              </w:rPr>
            </w:pPr>
            <w:r>
              <w:rPr>
                <w:b/>
              </w:rPr>
              <w:t>Tablo 3. Sanayi Üretim Endeksi Teknoloji Sı</w:t>
            </w:r>
            <w:r w:rsidR="002F6288">
              <w:rPr>
                <w:b/>
              </w:rPr>
              <w:t>nıfla</w:t>
            </w:r>
            <w:r w:rsidR="00683347">
              <w:rPr>
                <w:b/>
              </w:rPr>
              <w:t xml:space="preserve">rına Göre Büyüme Oranları, </w:t>
            </w:r>
            <w:r w:rsidR="004C3440">
              <w:rPr>
                <w:b/>
              </w:rPr>
              <w:t>Kasım</w:t>
            </w:r>
            <w:r w:rsidR="00594446">
              <w:rPr>
                <w:b/>
              </w:rPr>
              <w:t xml:space="preserve"> 2018</w:t>
            </w:r>
          </w:p>
        </w:tc>
        <w:tc>
          <w:tcPr>
            <w:tcW w:w="2153" w:type="dxa"/>
            <w:noWrap/>
          </w:tcPr>
          <w:p w:rsidR="00A23FB2" w:rsidRPr="004D5C8C" w:rsidRDefault="00A23FB2" w:rsidP="00237D9D">
            <w:pPr>
              <w:jc w:val="both"/>
            </w:pPr>
            <w:r w:rsidRPr="004D5C8C">
              <w:t>Önceki Aya Göre (%)</w:t>
            </w:r>
          </w:p>
        </w:tc>
        <w:tc>
          <w:tcPr>
            <w:tcW w:w="2067" w:type="dxa"/>
            <w:noWrap/>
          </w:tcPr>
          <w:p w:rsidR="00A23FB2" w:rsidRPr="004D5C8C" w:rsidRDefault="00A23FB2" w:rsidP="00237D9D">
            <w:pPr>
              <w:jc w:val="both"/>
            </w:pPr>
            <w:r w:rsidRPr="004D5C8C">
              <w:t>Önceki Yıla Göre (%)</w:t>
            </w:r>
          </w:p>
        </w:tc>
      </w:tr>
      <w:tr w:rsidR="00A23FB2" w:rsidRPr="00160C8F" w:rsidTr="00D42512">
        <w:trPr>
          <w:trHeight w:val="264"/>
        </w:trPr>
        <w:tc>
          <w:tcPr>
            <w:tcW w:w="4110" w:type="dxa"/>
            <w:noWrap/>
          </w:tcPr>
          <w:p w:rsidR="00A23FB2" w:rsidRPr="00A23FB2" w:rsidRDefault="00A23FB2" w:rsidP="00316F1D">
            <w:pPr>
              <w:jc w:val="both"/>
            </w:pPr>
            <w:r>
              <w:t>Düşük T</w:t>
            </w:r>
            <w:r w:rsidRPr="00A23FB2">
              <w:t>eknoloji</w:t>
            </w:r>
          </w:p>
        </w:tc>
        <w:tc>
          <w:tcPr>
            <w:tcW w:w="2153" w:type="dxa"/>
            <w:noWrap/>
            <w:vAlign w:val="center"/>
          </w:tcPr>
          <w:p w:rsidR="00A23FB2" w:rsidRPr="00176D24" w:rsidRDefault="00CA02F3" w:rsidP="00D42512">
            <w:pPr>
              <w:jc w:val="center"/>
            </w:pPr>
            <w:r>
              <w:t>0,9</w:t>
            </w:r>
          </w:p>
        </w:tc>
        <w:tc>
          <w:tcPr>
            <w:tcW w:w="2067" w:type="dxa"/>
            <w:noWrap/>
            <w:vAlign w:val="center"/>
          </w:tcPr>
          <w:p w:rsidR="00A23FB2" w:rsidRPr="00176D24" w:rsidRDefault="00CA02F3" w:rsidP="00D42512">
            <w:pPr>
              <w:jc w:val="center"/>
            </w:pPr>
            <w:r>
              <w:t>-3,5</w:t>
            </w:r>
          </w:p>
        </w:tc>
      </w:tr>
      <w:tr w:rsidR="00A23FB2" w:rsidRPr="00160C8F" w:rsidTr="00D42512">
        <w:trPr>
          <w:trHeight w:val="264"/>
        </w:trPr>
        <w:tc>
          <w:tcPr>
            <w:tcW w:w="4110" w:type="dxa"/>
            <w:noWrap/>
          </w:tcPr>
          <w:p w:rsidR="00A23FB2" w:rsidRPr="00A23FB2" w:rsidRDefault="00A23FB2" w:rsidP="00316F1D">
            <w:pPr>
              <w:jc w:val="both"/>
            </w:pPr>
            <w:r>
              <w:t>Orta Düşük T</w:t>
            </w:r>
            <w:r w:rsidRPr="00A23FB2">
              <w:t>eknoloji</w:t>
            </w:r>
          </w:p>
        </w:tc>
        <w:tc>
          <w:tcPr>
            <w:tcW w:w="2153" w:type="dxa"/>
            <w:noWrap/>
            <w:vAlign w:val="center"/>
          </w:tcPr>
          <w:p w:rsidR="00A23FB2" w:rsidRPr="00176D24" w:rsidRDefault="00CA02F3" w:rsidP="00D42512">
            <w:pPr>
              <w:jc w:val="center"/>
            </w:pPr>
            <w:r>
              <w:t>-2,4</w:t>
            </w:r>
          </w:p>
        </w:tc>
        <w:tc>
          <w:tcPr>
            <w:tcW w:w="2067" w:type="dxa"/>
            <w:noWrap/>
            <w:vAlign w:val="center"/>
          </w:tcPr>
          <w:p w:rsidR="00A23FB2" w:rsidRPr="00176D24" w:rsidRDefault="00CA02F3" w:rsidP="00D42512">
            <w:pPr>
              <w:jc w:val="center"/>
            </w:pPr>
            <w:r>
              <w:t>-14,2</w:t>
            </w:r>
          </w:p>
        </w:tc>
      </w:tr>
      <w:tr w:rsidR="00A23FB2" w:rsidRPr="00160C8F" w:rsidTr="00D42512">
        <w:trPr>
          <w:trHeight w:val="264"/>
        </w:trPr>
        <w:tc>
          <w:tcPr>
            <w:tcW w:w="4110" w:type="dxa"/>
            <w:noWrap/>
          </w:tcPr>
          <w:p w:rsidR="00A23FB2" w:rsidRPr="00A23FB2" w:rsidRDefault="00A23FB2" w:rsidP="00316F1D">
            <w:pPr>
              <w:jc w:val="both"/>
            </w:pPr>
            <w:r>
              <w:t>Orta Yüksek T</w:t>
            </w:r>
            <w:r w:rsidRPr="00A23FB2">
              <w:t>eknoloji</w:t>
            </w:r>
          </w:p>
        </w:tc>
        <w:tc>
          <w:tcPr>
            <w:tcW w:w="2153" w:type="dxa"/>
            <w:noWrap/>
            <w:vAlign w:val="center"/>
          </w:tcPr>
          <w:p w:rsidR="00A23FB2" w:rsidRPr="00176D24" w:rsidRDefault="00CA02F3" w:rsidP="00D42512">
            <w:pPr>
              <w:jc w:val="center"/>
            </w:pPr>
            <w:r>
              <w:t>2,1</w:t>
            </w:r>
          </w:p>
        </w:tc>
        <w:tc>
          <w:tcPr>
            <w:tcW w:w="2067" w:type="dxa"/>
            <w:noWrap/>
            <w:vAlign w:val="center"/>
          </w:tcPr>
          <w:p w:rsidR="00A23FB2" w:rsidRPr="00176D24" w:rsidRDefault="00683347" w:rsidP="00130316">
            <w:r>
              <w:t xml:space="preserve">                </w:t>
            </w:r>
            <w:r w:rsidR="00CA02F3">
              <w:t>-7,6</w:t>
            </w:r>
          </w:p>
        </w:tc>
      </w:tr>
      <w:tr w:rsidR="00A23FB2" w:rsidRPr="00160C8F" w:rsidTr="00D42512">
        <w:trPr>
          <w:trHeight w:val="264"/>
        </w:trPr>
        <w:tc>
          <w:tcPr>
            <w:tcW w:w="4110" w:type="dxa"/>
            <w:noWrap/>
          </w:tcPr>
          <w:p w:rsidR="00A23FB2" w:rsidRPr="00A23FB2" w:rsidRDefault="00A23FB2" w:rsidP="00316F1D">
            <w:pPr>
              <w:jc w:val="both"/>
            </w:pPr>
            <w:r>
              <w:t>Yüksek T</w:t>
            </w:r>
            <w:r w:rsidRPr="00A23FB2">
              <w:t>eknoloji</w:t>
            </w:r>
          </w:p>
        </w:tc>
        <w:tc>
          <w:tcPr>
            <w:tcW w:w="2153" w:type="dxa"/>
            <w:noWrap/>
            <w:vAlign w:val="center"/>
          </w:tcPr>
          <w:p w:rsidR="00A23FB2" w:rsidRPr="00176D24" w:rsidRDefault="00CA02F3" w:rsidP="00D42512">
            <w:pPr>
              <w:jc w:val="center"/>
            </w:pPr>
            <w:r>
              <w:t>-3,5</w:t>
            </w:r>
          </w:p>
        </w:tc>
        <w:tc>
          <w:tcPr>
            <w:tcW w:w="2067" w:type="dxa"/>
            <w:noWrap/>
            <w:vAlign w:val="center"/>
          </w:tcPr>
          <w:p w:rsidR="00A23FB2" w:rsidRPr="00176D24" w:rsidRDefault="00CA02F3" w:rsidP="00D42512">
            <w:pPr>
              <w:jc w:val="center"/>
            </w:pPr>
            <w:r>
              <w:t>5,9</w:t>
            </w:r>
          </w:p>
        </w:tc>
      </w:tr>
      <w:tr w:rsidR="00A23FB2" w:rsidRPr="00160C8F" w:rsidTr="00D42512">
        <w:trPr>
          <w:trHeight w:val="264"/>
        </w:trPr>
        <w:tc>
          <w:tcPr>
            <w:tcW w:w="4110" w:type="dxa"/>
            <w:noWrap/>
          </w:tcPr>
          <w:p w:rsidR="00A23FB2" w:rsidRDefault="00A23FB2" w:rsidP="00316F1D">
            <w:pPr>
              <w:jc w:val="both"/>
              <w:rPr>
                <w:b/>
              </w:rPr>
            </w:pPr>
            <w:r>
              <w:rPr>
                <w:b/>
              </w:rPr>
              <w:t>TOPLAM</w:t>
            </w:r>
          </w:p>
        </w:tc>
        <w:tc>
          <w:tcPr>
            <w:tcW w:w="2153" w:type="dxa"/>
            <w:noWrap/>
            <w:vAlign w:val="center"/>
          </w:tcPr>
          <w:p w:rsidR="00A23FB2" w:rsidRPr="00176D24" w:rsidRDefault="004C3440" w:rsidP="00D42512">
            <w:pPr>
              <w:jc w:val="center"/>
              <w:rPr>
                <w:b/>
              </w:rPr>
            </w:pPr>
            <w:r>
              <w:rPr>
                <w:b/>
              </w:rPr>
              <w:t>-0,3</w:t>
            </w:r>
          </w:p>
        </w:tc>
        <w:tc>
          <w:tcPr>
            <w:tcW w:w="2067" w:type="dxa"/>
            <w:noWrap/>
            <w:vAlign w:val="center"/>
          </w:tcPr>
          <w:p w:rsidR="00A23FB2" w:rsidRDefault="00CA02F3" w:rsidP="00D42512">
            <w:pPr>
              <w:jc w:val="center"/>
              <w:rPr>
                <w:b/>
              </w:rPr>
            </w:pPr>
            <w:r>
              <w:rPr>
                <w:b/>
              </w:rPr>
              <w:t>-6,5</w:t>
            </w:r>
          </w:p>
        </w:tc>
      </w:tr>
    </w:tbl>
    <w:p w:rsidR="00160C8F" w:rsidRDefault="00160C8F" w:rsidP="00FE2D1A">
      <w:pPr>
        <w:jc w:val="both"/>
      </w:pPr>
    </w:p>
    <w:sectPr w:rsidR="00160C8F" w:rsidSect="00432DF5"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42D" w:rsidRDefault="0003142D" w:rsidP="00C04441">
      <w:pPr>
        <w:spacing w:after="0" w:line="240" w:lineRule="auto"/>
      </w:pPr>
      <w:r>
        <w:separator/>
      </w:r>
    </w:p>
  </w:endnote>
  <w:endnote w:type="continuationSeparator" w:id="0">
    <w:p w:rsidR="0003142D" w:rsidRDefault="0003142D" w:rsidP="00C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4112067"/>
      <w:docPartObj>
        <w:docPartGallery w:val="Page Numbers (Bottom of Page)"/>
        <w:docPartUnique/>
      </w:docPartObj>
    </w:sdtPr>
    <w:sdtContent>
      <w:p w:rsidR="008D6B3B" w:rsidRDefault="008D6B3B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D6B3B" w:rsidRDefault="008D6B3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42D" w:rsidRDefault="0003142D" w:rsidP="00C04441">
      <w:pPr>
        <w:spacing w:after="0" w:line="240" w:lineRule="auto"/>
      </w:pPr>
      <w:r>
        <w:separator/>
      </w:r>
    </w:p>
  </w:footnote>
  <w:footnote w:type="continuationSeparator" w:id="0">
    <w:p w:rsidR="0003142D" w:rsidRDefault="0003142D" w:rsidP="00C04441">
      <w:pPr>
        <w:spacing w:after="0" w:line="240" w:lineRule="auto"/>
      </w:pPr>
      <w:r>
        <w:continuationSeparator/>
      </w:r>
    </w:p>
  </w:footnote>
  <w:footnote w:id="1">
    <w:p w:rsidR="00522A6C" w:rsidRDefault="00522A6C" w:rsidP="00522A6C">
      <w:pPr>
        <w:pStyle w:val="DipnotMetni"/>
      </w:pPr>
      <w:r>
        <w:rPr>
          <w:rStyle w:val="DipnotBavurusu"/>
        </w:rPr>
        <w:footnoteRef/>
      </w:r>
      <w:r>
        <w:t xml:space="preserve"> Bültende mevsim ve takvim etkilerinden arındırılmış veriler kullanılmaktadır</w:t>
      </w:r>
      <w:r w:rsidR="00460688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55"/>
    <w:rsid w:val="000074D8"/>
    <w:rsid w:val="00020E22"/>
    <w:rsid w:val="0003142D"/>
    <w:rsid w:val="0003703C"/>
    <w:rsid w:val="000449DE"/>
    <w:rsid w:val="00062D7C"/>
    <w:rsid w:val="00067493"/>
    <w:rsid w:val="000701FD"/>
    <w:rsid w:val="00070A53"/>
    <w:rsid w:val="000A2533"/>
    <w:rsid w:val="000B7EA9"/>
    <w:rsid w:val="000D18BE"/>
    <w:rsid w:val="000F2907"/>
    <w:rsid w:val="001037FB"/>
    <w:rsid w:val="00112C0F"/>
    <w:rsid w:val="0011315A"/>
    <w:rsid w:val="00114EEB"/>
    <w:rsid w:val="001243A0"/>
    <w:rsid w:val="001261E9"/>
    <w:rsid w:val="00130316"/>
    <w:rsid w:val="00135340"/>
    <w:rsid w:val="00145A62"/>
    <w:rsid w:val="001476B3"/>
    <w:rsid w:val="00151BD3"/>
    <w:rsid w:val="00153CD8"/>
    <w:rsid w:val="00160C8F"/>
    <w:rsid w:val="0017212E"/>
    <w:rsid w:val="001727DA"/>
    <w:rsid w:val="00176D24"/>
    <w:rsid w:val="0019156C"/>
    <w:rsid w:val="001A10CB"/>
    <w:rsid w:val="001A1146"/>
    <w:rsid w:val="001B0F96"/>
    <w:rsid w:val="001C74F4"/>
    <w:rsid w:val="001D08EA"/>
    <w:rsid w:val="001E11A2"/>
    <w:rsid w:val="001E1BF7"/>
    <w:rsid w:val="001E5A63"/>
    <w:rsid w:val="001F7633"/>
    <w:rsid w:val="00201049"/>
    <w:rsid w:val="0021363C"/>
    <w:rsid w:val="002145C8"/>
    <w:rsid w:val="00222211"/>
    <w:rsid w:val="00226AA7"/>
    <w:rsid w:val="00232DD2"/>
    <w:rsid w:val="00233BD5"/>
    <w:rsid w:val="00233F90"/>
    <w:rsid w:val="00246284"/>
    <w:rsid w:val="002466C0"/>
    <w:rsid w:val="002625C7"/>
    <w:rsid w:val="00263D6B"/>
    <w:rsid w:val="00265754"/>
    <w:rsid w:val="0028186A"/>
    <w:rsid w:val="002B2CC6"/>
    <w:rsid w:val="002B53E4"/>
    <w:rsid w:val="002C70D2"/>
    <w:rsid w:val="002D3E19"/>
    <w:rsid w:val="002D4CF4"/>
    <w:rsid w:val="002D4D88"/>
    <w:rsid w:val="002D5594"/>
    <w:rsid w:val="002F30C5"/>
    <w:rsid w:val="002F6288"/>
    <w:rsid w:val="00303320"/>
    <w:rsid w:val="00315182"/>
    <w:rsid w:val="00317C4E"/>
    <w:rsid w:val="00321B60"/>
    <w:rsid w:val="00340005"/>
    <w:rsid w:val="00340BEB"/>
    <w:rsid w:val="003455A1"/>
    <w:rsid w:val="00350144"/>
    <w:rsid w:val="00351561"/>
    <w:rsid w:val="00354CE2"/>
    <w:rsid w:val="00357954"/>
    <w:rsid w:val="003641B3"/>
    <w:rsid w:val="00370B3E"/>
    <w:rsid w:val="003733E7"/>
    <w:rsid w:val="00375254"/>
    <w:rsid w:val="00390E27"/>
    <w:rsid w:val="003A5037"/>
    <w:rsid w:val="003A57CB"/>
    <w:rsid w:val="003D2889"/>
    <w:rsid w:val="003D666D"/>
    <w:rsid w:val="003F266E"/>
    <w:rsid w:val="003F2715"/>
    <w:rsid w:val="00401D53"/>
    <w:rsid w:val="00407EC9"/>
    <w:rsid w:val="00424CC0"/>
    <w:rsid w:val="00431AD9"/>
    <w:rsid w:val="00432DF5"/>
    <w:rsid w:val="0043515F"/>
    <w:rsid w:val="00460688"/>
    <w:rsid w:val="00463872"/>
    <w:rsid w:val="004641F9"/>
    <w:rsid w:val="00475829"/>
    <w:rsid w:val="00482E70"/>
    <w:rsid w:val="00492DFF"/>
    <w:rsid w:val="004B6888"/>
    <w:rsid w:val="004C2C40"/>
    <w:rsid w:val="004C3440"/>
    <w:rsid w:val="004C54EA"/>
    <w:rsid w:val="004D5C8C"/>
    <w:rsid w:val="00517288"/>
    <w:rsid w:val="00521423"/>
    <w:rsid w:val="00522A6C"/>
    <w:rsid w:val="005405F5"/>
    <w:rsid w:val="00544D61"/>
    <w:rsid w:val="005531C8"/>
    <w:rsid w:val="00561558"/>
    <w:rsid w:val="00565DB5"/>
    <w:rsid w:val="00574C38"/>
    <w:rsid w:val="0057513F"/>
    <w:rsid w:val="005758F2"/>
    <w:rsid w:val="0057797A"/>
    <w:rsid w:val="00580464"/>
    <w:rsid w:val="00583547"/>
    <w:rsid w:val="0059020E"/>
    <w:rsid w:val="00593476"/>
    <w:rsid w:val="00594446"/>
    <w:rsid w:val="00596375"/>
    <w:rsid w:val="005A54BA"/>
    <w:rsid w:val="005B282C"/>
    <w:rsid w:val="005B2B26"/>
    <w:rsid w:val="005B7F6F"/>
    <w:rsid w:val="005C53F8"/>
    <w:rsid w:val="005D282B"/>
    <w:rsid w:val="006005B3"/>
    <w:rsid w:val="006020BD"/>
    <w:rsid w:val="00604091"/>
    <w:rsid w:val="00605830"/>
    <w:rsid w:val="00625E9B"/>
    <w:rsid w:val="00640824"/>
    <w:rsid w:val="00643409"/>
    <w:rsid w:val="006760A0"/>
    <w:rsid w:val="00677B0D"/>
    <w:rsid w:val="00683347"/>
    <w:rsid w:val="00685E8C"/>
    <w:rsid w:val="006A23C6"/>
    <w:rsid w:val="006A4591"/>
    <w:rsid w:val="006B2306"/>
    <w:rsid w:val="006B6AEA"/>
    <w:rsid w:val="006D41B5"/>
    <w:rsid w:val="006E77D7"/>
    <w:rsid w:val="006F0E9D"/>
    <w:rsid w:val="0070186C"/>
    <w:rsid w:val="00716E35"/>
    <w:rsid w:val="00731B2B"/>
    <w:rsid w:val="007330A1"/>
    <w:rsid w:val="00736EAB"/>
    <w:rsid w:val="00737710"/>
    <w:rsid w:val="00740BAC"/>
    <w:rsid w:val="007441EB"/>
    <w:rsid w:val="00744706"/>
    <w:rsid w:val="00756492"/>
    <w:rsid w:val="00770090"/>
    <w:rsid w:val="007700BF"/>
    <w:rsid w:val="007736BE"/>
    <w:rsid w:val="00781C4C"/>
    <w:rsid w:val="007A6AB2"/>
    <w:rsid w:val="007B58E6"/>
    <w:rsid w:val="007B7A94"/>
    <w:rsid w:val="007C02FB"/>
    <w:rsid w:val="007C5CE3"/>
    <w:rsid w:val="007E5800"/>
    <w:rsid w:val="007E6746"/>
    <w:rsid w:val="00801E07"/>
    <w:rsid w:val="00802F1A"/>
    <w:rsid w:val="008111C1"/>
    <w:rsid w:val="00836230"/>
    <w:rsid w:val="008919E1"/>
    <w:rsid w:val="008A18D9"/>
    <w:rsid w:val="008A575D"/>
    <w:rsid w:val="008A62B9"/>
    <w:rsid w:val="008A7788"/>
    <w:rsid w:val="008C2C15"/>
    <w:rsid w:val="008C7F9E"/>
    <w:rsid w:val="008D1077"/>
    <w:rsid w:val="008D6B3B"/>
    <w:rsid w:val="008E7A90"/>
    <w:rsid w:val="0090264F"/>
    <w:rsid w:val="0090458B"/>
    <w:rsid w:val="00907E0D"/>
    <w:rsid w:val="00923FD3"/>
    <w:rsid w:val="0092656D"/>
    <w:rsid w:val="009319B5"/>
    <w:rsid w:val="00932909"/>
    <w:rsid w:val="00935B34"/>
    <w:rsid w:val="009367FC"/>
    <w:rsid w:val="009373A8"/>
    <w:rsid w:val="00983006"/>
    <w:rsid w:val="009858B1"/>
    <w:rsid w:val="009A055C"/>
    <w:rsid w:val="009A6E86"/>
    <w:rsid w:val="009C6262"/>
    <w:rsid w:val="009C6424"/>
    <w:rsid w:val="009D3086"/>
    <w:rsid w:val="009E2652"/>
    <w:rsid w:val="009E5A0A"/>
    <w:rsid w:val="009E756B"/>
    <w:rsid w:val="009F0A83"/>
    <w:rsid w:val="009F54F1"/>
    <w:rsid w:val="00A0036E"/>
    <w:rsid w:val="00A05007"/>
    <w:rsid w:val="00A22DF8"/>
    <w:rsid w:val="00A23FB2"/>
    <w:rsid w:val="00A469AB"/>
    <w:rsid w:val="00A50B41"/>
    <w:rsid w:val="00A54DF2"/>
    <w:rsid w:val="00A64065"/>
    <w:rsid w:val="00A703C9"/>
    <w:rsid w:val="00A704B3"/>
    <w:rsid w:val="00A705F6"/>
    <w:rsid w:val="00A722F2"/>
    <w:rsid w:val="00A77365"/>
    <w:rsid w:val="00A83FD3"/>
    <w:rsid w:val="00AB519D"/>
    <w:rsid w:val="00AB7627"/>
    <w:rsid w:val="00AC3550"/>
    <w:rsid w:val="00AD2065"/>
    <w:rsid w:val="00B0776B"/>
    <w:rsid w:val="00B2786A"/>
    <w:rsid w:val="00B33F14"/>
    <w:rsid w:val="00B404F2"/>
    <w:rsid w:val="00B4315C"/>
    <w:rsid w:val="00B55EB8"/>
    <w:rsid w:val="00B65F3F"/>
    <w:rsid w:val="00B74AF8"/>
    <w:rsid w:val="00B84FE9"/>
    <w:rsid w:val="00B86368"/>
    <w:rsid w:val="00B8689F"/>
    <w:rsid w:val="00B94EA9"/>
    <w:rsid w:val="00B96B22"/>
    <w:rsid w:val="00BA000A"/>
    <w:rsid w:val="00BA1F9C"/>
    <w:rsid w:val="00BA29CF"/>
    <w:rsid w:val="00BB1094"/>
    <w:rsid w:val="00BC294E"/>
    <w:rsid w:val="00BC32E0"/>
    <w:rsid w:val="00BC5F10"/>
    <w:rsid w:val="00BF1C98"/>
    <w:rsid w:val="00BF4755"/>
    <w:rsid w:val="00C04441"/>
    <w:rsid w:val="00C144CC"/>
    <w:rsid w:val="00C21D8B"/>
    <w:rsid w:val="00C37F57"/>
    <w:rsid w:val="00C55489"/>
    <w:rsid w:val="00C73ED9"/>
    <w:rsid w:val="00C75496"/>
    <w:rsid w:val="00C919B8"/>
    <w:rsid w:val="00C97AFA"/>
    <w:rsid w:val="00CA02F3"/>
    <w:rsid w:val="00CC7D5F"/>
    <w:rsid w:val="00CE4BAC"/>
    <w:rsid w:val="00CE5E9C"/>
    <w:rsid w:val="00CF56CB"/>
    <w:rsid w:val="00D0085D"/>
    <w:rsid w:val="00D017B9"/>
    <w:rsid w:val="00D21190"/>
    <w:rsid w:val="00D2299D"/>
    <w:rsid w:val="00D23355"/>
    <w:rsid w:val="00D26126"/>
    <w:rsid w:val="00D26ADA"/>
    <w:rsid w:val="00D42512"/>
    <w:rsid w:val="00D559DA"/>
    <w:rsid w:val="00D60CCE"/>
    <w:rsid w:val="00D72BD4"/>
    <w:rsid w:val="00D930AD"/>
    <w:rsid w:val="00DA15C9"/>
    <w:rsid w:val="00DB1389"/>
    <w:rsid w:val="00DB1F8E"/>
    <w:rsid w:val="00DC5FDC"/>
    <w:rsid w:val="00DC7A17"/>
    <w:rsid w:val="00DE7934"/>
    <w:rsid w:val="00E1280A"/>
    <w:rsid w:val="00E137FD"/>
    <w:rsid w:val="00E33EB8"/>
    <w:rsid w:val="00E46DD4"/>
    <w:rsid w:val="00E67764"/>
    <w:rsid w:val="00E7657B"/>
    <w:rsid w:val="00EB0949"/>
    <w:rsid w:val="00EC4AA2"/>
    <w:rsid w:val="00EC72C1"/>
    <w:rsid w:val="00ED4544"/>
    <w:rsid w:val="00ED46EA"/>
    <w:rsid w:val="00EE0B38"/>
    <w:rsid w:val="00EE2F80"/>
    <w:rsid w:val="00EE4F69"/>
    <w:rsid w:val="00EE565C"/>
    <w:rsid w:val="00EE5ABD"/>
    <w:rsid w:val="00EF4E45"/>
    <w:rsid w:val="00EF621F"/>
    <w:rsid w:val="00F061D6"/>
    <w:rsid w:val="00F111FE"/>
    <w:rsid w:val="00F27E6F"/>
    <w:rsid w:val="00F456E2"/>
    <w:rsid w:val="00F5758A"/>
    <w:rsid w:val="00F97C6A"/>
    <w:rsid w:val="00FC2597"/>
    <w:rsid w:val="00FD0F6A"/>
    <w:rsid w:val="00FE2D1A"/>
    <w:rsid w:val="00FE59CF"/>
    <w:rsid w:val="00FE7D5C"/>
    <w:rsid w:val="00FF11E1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ltbilgi">
    <w:name w:val="footer"/>
    <w:basedOn w:val="Normal"/>
    <w:link w:val="AltbilgiChar"/>
    <w:uiPriority w:val="99"/>
    <w:unhideWhenUsed/>
    <w:rsid w:val="008D6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B3B"/>
    <w:rPr>
      <w:rFonts w:eastAsiaTheme="minorEastAsia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ltbilgi">
    <w:name w:val="footer"/>
    <w:basedOn w:val="Normal"/>
    <w:link w:val="AltbilgiChar"/>
    <w:uiPriority w:val="99"/>
    <w:unhideWhenUsed/>
    <w:rsid w:val="008D6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B3B"/>
    <w:rPr>
      <w:rFonts w:eastAsiaTheme="minorEastAsia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N20\Desktop\ENDEKS%20VE%20B&#220;LTENLER\Sanayi%20&#220;retim%20Endeksi\2018\11.Kas&#305;m.2018\S&#220;E_Kas&#305;m.20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'mevsim ve takvim'!$A$2</c:f>
              <c:strCache>
                <c:ptCount val="1"/>
                <c:pt idx="0">
                  <c:v>2017</c:v>
                </c:pt>
              </c:strCache>
            </c:strRef>
          </c:tx>
          <c:marker>
            <c:symbol val="none"/>
          </c:marker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'mevsim ve takvim'!$B$1:$M$1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'mevsim ve takvim'!$B$2:$M$2</c:f>
              <c:numCache>
                <c:formatCode>0.0</c:formatCode>
                <c:ptCount val="12"/>
                <c:pt idx="0">
                  <c:v>105.58962573836543</c:v>
                </c:pt>
                <c:pt idx="1">
                  <c:v>107.36965716629152</c:v>
                </c:pt>
                <c:pt idx="2">
                  <c:v>108.96814033538216</c:v>
                </c:pt>
                <c:pt idx="3">
                  <c:v>111.51372086294474</c:v>
                </c:pt>
                <c:pt idx="4">
                  <c:v>109.92366069772119</c:v>
                </c:pt>
                <c:pt idx="5">
                  <c:v>110.52828228750742</c:v>
                </c:pt>
                <c:pt idx="6">
                  <c:v>111.66986414005815</c:v>
                </c:pt>
                <c:pt idx="7">
                  <c:v>114.88147760551331</c:v>
                </c:pt>
                <c:pt idx="8">
                  <c:v>115.79944175077404</c:v>
                </c:pt>
                <c:pt idx="9">
                  <c:v>116.33324216388088</c:v>
                </c:pt>
                <c:pt idx="10">
                  <c:v>116.96218646688759</c:v>
                </c:pt>
                <c:pt idx="11">
                  <c:v>119.0126687182875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'mevsim ve takvim'!$A$3</c:f>
              <c:strCache>
                <c:ptCount val="1"/>
                <c:pt idx="0">
                  <c:v>2018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2.5873221216041398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5873221216041367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'mevsim ve takvim'!$B$1:$M$1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'mevsim ve takvim'!$B$3:$L$3</c:f>
              <c:numCache>
                <c:formatCode>0.0</c:formatCode>
                <c:ptCount val="11"/>
                <c:pt idx="0">
                  <c:v>117.85861254728654</c:v>
                </c:pt>
                <c:pt idx="1">
                  <c:v>117.49328939144583</c:v>
                </c:pt>
                <c:pt idx="2">
                  <c:v>117.5134587658624</c:v>
                </c:pt>
                <c:pt idx="3">
                  <c:v>118.42839471306992</c:v>
                </c:pt>
                <c:pt idx="4">
                  <c:v>116.39361563694297</c:v>
                </c:pt>
                <c:pt idx="5">
                  <c:v>113.67140973464127</c:v>
                </c:pt>
                <c:pt idx="6">
                  <c:v>117.92217303735572</c:v>
                </c:pt>
                <c:pt idx="7">
                  <c:v>116.0491720904032</c:v>
                </c:pt>
                <c:pt idx="8">
                  <c:v>113.18072115366475</c:v>
                </c:pt>
                <c:pt idx="9">
                  <c:v>110.66853358373653</c:v>
                </c:pt>
                <c:pt idx="10">
                  <c:v>110.3900351814743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847808"/>
        <c:axId val="169877888"/>
      </c:lineChart>
      <c:catAx>
        <c:axId val="147847808"/>
        <c:scaling>
          <c:orientation val="minMax"/>
        </c:scaling>
        <c:delete val="0"/>
        <c:axPos val="b"/>
        <c:majorTickMark val="out"/>
        <c:minorTickMark val="none"/>
        <c:tickLblPos val="nextTo"/>
        <c:crossAx val="169877888"/>
        <c:crosses val="autoZero"/>
        <c:auto val="1"/>
        <c:lblAlgn val="ctr"/>
        <c:lblOffset val="100"/>
        <c:noMultiLvlLbl val="0"/>
      </c:catAx>
      <c:valAx>
        <c:axId val="169877888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crossAx val="147847808"/>
        <c:crosses val="autoZero"/>
        <c:crossBetween val="between"/>
        <c:majorUnit val="5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takvim!$B$9:$E$9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takvim!$B$10:$E$10</c:f>
              <c:numCache>
                <c:formatCode>0.0</c:formatCode>
                <c:ptCount val="4"/>
                <c:pt idx="0">
                  <c:v>107.61003092878651</c:v>
                </c:pt>
                <c:pt idx="1">
                  <c:v>110.78311145166867</c:v>
                </c:pt>
                <c:pt idx="2">
                  <c:v>121.5355141792744</c:v>
                </c:pt>
                <c:pt idx="3">
                  <c:v>113.67764962104323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9808256"/>
        <c:axId val="169809792"/>
      </c:lineChart>
      <c:catAx>
        <c:axId val="169808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9809792"/>
        <c:crosses val="autoZero"/>
        <c:auto val="1"/>
        <c:lblAlgn val="ctr"/>
        <c:lblOffset val="100"/>
        <c:noMultiLvlLbl val="0"/>
      </c:catAx>
      <c:valAx>
        <c:axId val="169809792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crossAx val="169808256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txPr>
    <a:bodyPr/>
    <a:lstStyle/>
    <a:p>
      <a:pPr>
        <a:defRPr b="1"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B68D0-D00F-49AE-84C3-EF2FE1CFF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Asus11PC</cp:lastModifiedBy>
  <cp:revision>9</cp:revision>
  <cp:lastPrinted>2019-01-22T14:29:00Z</cp:lastPrinted>
  <dcterms:created xsi:type="dcterms:W3CDTF">2019-01-22T14:10:00Z</dcterms:created>
  <dcterms:modified xsi:type="dcterms:W3CDTF">2019-02-26T11:46:00Z</dcterms:modified>
</cp:coreProperties>
</file>