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4236"/>
      </w:tblGrid>
      <w:tr w:rsidR="00AD2065" w:rsidTr="00396C07">
        <w:trPr>
          <w:trHeight w:val="915"/>
        </w:trPr>
        <w:tc>
          <w:tcPr>
            <w:tcW w:w="5644" w:type="dxa"/>
            <w:vAlign w:val="center"/>
          </w:tcPr>
          <w:p w:rsidR="00907E0D" w:rsidRDefault="00460688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E20DB4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8A5BC8">
              <w:rPr>
                <w:rFonts w:asciiTheme="majorHAnsi" w:eastAsiaTheme="majorEastAsia" w:hAnsiTheme="majorHAnsi" w:cstheme="majorBidi"/>
                <w:sz w:val="36"/>
                <w:szCs w:val="36"/>
              </w:rPr>
              <w:t>Mayıs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Default="008A5BC8" w:rsidP="008A5BC8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12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Temmuz</w:t>
            </w:r>
            <w:r w:rsidR="00201049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2019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11EB4FF0" wp14:editId="0B66751F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EF4E45" w:rsidRDefault="008A5BC8" w:rsidP="00AD2065">
      <w:pPr>
        <w:rPr>
          <w:b/>
        </w:rPr>
      </w:pPr>
      <w:r>
        <w:rPr>
          <w:b/>
        </w:rPr>
        <w:t>Mayıs</w:t>
      </w:r>
      <w:r w:rsidR="00E20DB4">
        <w:rPr>
          <w:b/>
        </w:rPr>
        <w:t xml:space="preserve"> 2019</w:t>
      </w:r>
      <w:r w:rsidR="00EF4E45" w:rsidRPr="00EF4E45">
        <w:rPr>
          <w:b/>
        </w:rPr>
        <w:t xml:space="preserve"> </w:t>
      </w:r>
      <w:r w:rsidR="007B58E6">
        <w:rPr>
          <w:b/>
        </w:rPr>
        <w:t>Sanayi Üretim Endeksi’ne</w:t>
      </w:r>
      <w:r w:rsidR="00EF4E45" w:rsidRPr="00EF4E45">
        <w:rPr>
          <w:b/>
        </w:rPr>
        <w:t xml:space="preserve"> ilişkin veriler Türkiye İstat</w:t>
      </w:r>
      <w:r w:rsidR="007441EB">
        <w:rPr>
          <w:b/>
        </w:rPr>
        <w:t xml:space="preserve">istik Kurumu (TÜİK) tarafından </w:t>
      </w:r>
      <w:r>
        <w:rPr>
          <w:b/>
        </w:rPr>
        <w:t>12</w:t>
      </w:r>
      <w:r w:rsidR="00D16216">
        <w:rPr>
          <w:b/>
        </w:rPr>
        <w:t xml:space="preserve"> </w:t>
      </w:r>
      <w:r>
        <w:rPr>
          <w:b/>
        </w:rPr>
        <w:t>Temmuz</w:t>
      </w:r>
      <w:r w:rsidR="00145A62">
        <w:rPr>
          <w:b/>
        </w:rPr>
        <w:t xml:space="preserve"> </w:t>
      </w:r>
      <w:r w:rsidR="004C3440">
        <w:rPr>
          <w:b/>
        </w:rPr>
        <w:t>2019</w:t>
      </w:r>
      <w:r w:rsidR="00EF4E45" w:rsidRPr="00EF4E45">
        <w:rPr>
          <w:b/>
        </w:rPr>
        <w:t xml:space="preserve"> tarihinde yayımlandı.</w:t>
      </w:r>
    </w:p>
    <w:p w:rsidR="00DF5145" w:rsidRDefault="00EF4E45" w:rsidP="00EF4E45">
      <w:r>
        <w:t xml:space="preserve">TÜİK tarafından aylık yayımlanan </w:t>
      </w:r>
      <w:r w:rsidR="007B58E6" w:rsidRPr="007B58E6">
        <w:t>Sanayi Üretim Endeksi</w:t>
      </w:r>
      <w:r>
        <w:t>,</w:t>
      </w:r>
      <w:r w:rsidR="007B58E6">
        <w:t xml:space="preserve"> Türkiye’deki sanayi kuruluşlarının toplam üretiminin</w:t>
      </w:r>
      <w:r>
        <w:t xml:space="preserve"> zaman içindeki değişim</w:t>
      </w:r>
      <w:r w:rsidR="007B58E6">
        <w:t>i</w:t>
      </w:r>
      <w:r>
        <w:t xml:space="preserve"> hakkında bilgi vermektedir.</w:t>
      </w:r>
      <w:r w:rsidR="00522A6C" w:rsidRPr="00C04441">
        <w:rPr>
          <w:rStyle w:val="DipnotBavurusu"/>
        </w:rPr>
        <w:footnoteReference w:id="1"/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Aylara göre </w:t>
      </w:r>
      <w:r w:rsidR="00FD0F6A" w:rsidRPr="006D330B">
        <w:rPr>
          <w:rFonts w:eastAsia="Times New Roman" w:cs="Times New Roman"/>
          <w:b/>
          <w:bCs/>
          <w:kern w:val="36"/>
          <w:sz w:val="24"/>
          <w:szCs w:val="24"/>
        </w:rPr>
        <w:t>sanayi üretim endeksi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</w:p>
    <w:p w:rsidR="00130316" w:rsidRPr="006D330B" w:rsidRDefault="00FD0F6A" w:rsidP="00130316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(mevsim ve takvim</w:t>
      </w:r>
      <w:r w:rsidR="006F0E9D">
        <w:rPr>
          <w:rFonts w:eastAsia="Times New Roman" w:cs="Times New Roman"/>
          <w:b/>
          <w:bCs/>
          <w:kern w:val="36"/>
          <w:sz w:val="24"/>
          <w:szCs w:val="24"/>
        </w:rPr>
        <w:t xml:space="preserve"> etkilerinden arındırılmış, 2015</w:t>
      </w:r>
      <w:r>
        <w:rPr>
          <w:rFonts w:eastAsia="Times New Roman" w:cs="Times New Roman"/>
          <w:b/>
          <w:bCs/>
          <w:kern w:val="36"/>
          <w:sz w:val="24"/>
          <w:szCs w:val="24"/>
        </w:rPr>
        <w:t>=100)</w:t>
      </w:r>
    </w:p>
    <w:p w:rsidR="00FD0F6A" w:rsidRDefault="0041453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>
        <w:rPr>
          <w:noProof/>
        </w:rPr>
        <w:drawing>
          <wp:inline distT="0" distB="0" distL="0" distR="0" wp14:anchorId="5792939E" wp14:editId="37E0B1B6">
            <wp:extent cx="5972810" cy="2225040"/>
            <wp:effectExtent l="0" t="0" r="27940" b="2286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44CC" w:rsidRPr="002F3C84" w:rsidRDefault="00867BDC" w:rsidP="00C144CC">
      <w:pPr>
        <w:jc w:val="both"/>
      </w:pPr>
      <w:r w:rsidRPr="002F3C84">
        <w:t>Mayıs</w:t>
      </w:r>
      <w:r w:rsidR="00574C38" w:rsidRPr="002F3C84">
        <w:t xml:space="preserve"> ayında Türkiye (TR) Geneli </w:t>
      </w:r>
      <w:r w:rsidR="007B58E6" w:rsidRPr="002F3C84">
        <w:t>Sanayi Üretim Endeksi</w:t>
      </w:r>
      <w:r w:rsidR="00574C38" w:rsidRPr="002F3C84">
        <w:t xml:space="preserve"> </w:t>
      </w:r>
      <w:r w:rsidR="00EE2F80" w:rsidRPr="002F3C84">
        <w:rPr>
          <w:b/>
          <w:u w:val="single"/>
        </w:rPr>
        <w:t>bir önceki aya (</w:t>
      </w:r>
      <w:r w:rsidRPr="002F3C84">
        <w:rPr>
          <w:b/>
          <w:u w:val="single"/>
        </w:rPr>
        <w:t>Nisan</w:t>
      </w:r>
      <w:r w:rsidR="00CE1205" w:rsidRPr="002F3C84">
        <w:rPr>
          <w:b/>
          <w:u w:val="single"/>
        </w:rPr>
        <w:t xml:space="preserve"> 2019</w:t>
      </w:r>
      <w:r w:rsidR="00574C38" w:rsidRPr="002F3C84">
        <w:rPr>
          <w:b/>
          <w:u w:val="single"/>
        </w:rPr>
        <w:t>) göre</w:t>
      </w:r>
      <w:r w:rsidR="00574C38" w:rsidRPr="002F3C84">
        <w:t xml:space="preserve"> yüzde </w:t>
      </w:r>
      <w:r w:rsidR="0094162A" w:rsidRPr="002F3C84">
        <w:t>1</w:t>
      </w:r>
      <w:r w:rsidRPr="002F3C84">
        <w:t>,3</w:t>
      </w:r>
      <w:r w:rsidR="00E7657B" w:rsidRPr="002F3C84">
        <w:t xml:space="preserve"> </w:t>
      </w:r>
      <w:r w:rsidRPr="002F3C84">
        <w:t>artış</w:t>
      </w:r>
      <w:r w:rsidR="006A4591" w:rsidRPr="002F3C84">
        <w:t xml:space="preserve"> </w:t>
      </w:r>
      <w:r w:rsidR="00370B3E" w:rsidRPr="002F3C84">
        <w:t>göst</w:t>
      </w:r>
      <w:r w:rsidR="004B6888" w:rsidRPr="002F3C84">
        <w:t>ermiştir</w:t>
      </w:r>
      <w:r w:rsidR="00574C38" w:rsidRPr="002F3C84">
        <w:t xml:space="preserve">. </w:t>
      </w:r>
      <w:r w:rsidRPr="002F3C84">
        <w:t>Mayıs</w:t>
      </w:r>
      <w:r w:rsidR="00A703C9" w:rsidRPr="002F3C84">
        <w:t xml:space="preserve"> </w:t>
      </w:r>
      <w:r w:rsidR="00FF1E7D" w:rsidRPr="002F3C84">
        <w:t>(2019</w:t>
      </w:r>
      <w:r w:rsidR="00574C38" w:rsidRPr="002F3C84">
        <w:t>) ayında</w:t>
      </w:r>
      <w:r w:rsidR="007E6746" w:rsidRPr="002F3C84">
        <w:t xml:space="preserve">ki </w:t>
      </w:r>
      <w:r w:rsidR="00FF1E7D" w:rsidRPr="002F3C84">
        <w:t>a</w:t>
      </w:r>
      <w:r w:rsidRPr="002F3C84">
        <w:t>rtı</w:t>
      </w:r>
      <w:r w:rsidR="00EA4257" w:rsidRPr="002F3C84">
        <w:t>şta</w:t>
      </w:r>
      <w:r w:rsidR="00DB1F8E" w:rsidRPr="002F3C84">
        <w:t xml:space="preserve"> </w:t>
      </w:r>
      <w:r w:rsidR="007E6746" w:rsidRPr="002F3C84">
        <w:t xml:space="preserve">bir önceki </w:t>
      </w:r>
      <w:r w:rsidR="0092656D" w:rsidRPr="002F3C84">
        <w:t>aya göre</w:t>
      </w:r>
      <w:r w:rsidR="00DB1F8E" w:rsidRPr="002F3C84">
        <w:t xml:space="preserve"> </w:t>
      </w:r>
      <w:r w:rsidR="00863219" w:rsidRPr="002F3C84">
        <w:t xml:space="preserve">madencilik ve </w:t>
      </w:r>
      <w:proofErr w:type="spellStart"/>
      <w:r w:rsidR="00863219" w:rsidRPr="002F3C84">
        <w:t>taşo</w:t>
      </w:r>
      <w:r w:rsidRPr="002F3C84">
        <w:t>cakçılığı</w:t>
      </w:r>
      <w:proofErr w:type="spellEnd"/>
      <w:r w:rsidRPr="002F3C84">
        <w:t xml:space="preserve"> sektöründeki yüzde 5,2</w:t>
      </w:r>
      <w:r w:rsidR="00863219" w:rsidRPr="002F3C84">
        <w:t>’li</w:t>
      </w:r>
      <w:r w:rsidR="00E37D6E" w:rsidRPr="002F3C84">
        <w:t>k</w:t>
      </w:r>
      <w:r w:rsidRPr="002F3C84">
        <w:t xml:space="preserve">, elektrik, gaz, buhar ve iklimlendirme üretimi ve dağıtımı </w:t>
      </w:r>
      <w:r w:rsidR="002F3C84" w:rsidRPr="002F3C84">
        <w:t>sektöründeki yüzde 2</w:t>
      </w:r>
      <w:r w:rsidR="00EA4257" w:rsidRPr="002F3C84">
        <w:t xml:space="preserve">,9’luk </w:t>
      </w:r>
      <w:r w:rsidR="002F3C84" w:rsidRPr="002F3C84">
        <w:t>ve imalat sektöründeki yüzde 1’lik artış</w:t>
      </w:r>
      <w:r w:rsidR="00863219" w:rsidRPr="002F3C84">
        <w:t xml:space="preserve"> etkili olmuştur. </w:t>
      </w:r>
    </w:p>
    <w:p w:rsidR="007B58E6" w:rsidRPr="002F3C84" w:rsidRDefault="00C04441" w:rsidP="007B58E6">
      <w:pPr>
        <w:jc w:val="both"/>
      </w:pPr>
      <w:r w:rsidRPr="002F3C84">
        <w:t>Ana sanayi gruplarına</w:t>
      </w:r>
      <w:r w:rsidR="007B58E6" w:rsidRPr="002F3C84">
        <w:t xml:space="preserve"> bakıldığında </w:t>
      </w:r>
      <w:r w:rsidR="0003703C" w:rsidRPr="002F3C84">
        <w:t>toplam sanayi endeksindeki</w:t>
      </w:r>
      <w:r w:rsidR="00475829" w:rsidRPr="002F3C84">
        <w:t xml:space="preserve"> </w:t>
      </w:r>
      <w:r w:rsidR="00263D6B" w:rsidRPr="002F3C84">
        <w:t>a</w:t>
      </w:r>
      <w:r w:rsidR="002F3C84" w:rsidRPr="002F3C84">
        <w:t>rtı</w:t>
      </w:r>
      <w:r w:rsidR="00D465B9" w:rsidRPr="002F3C84">
        <w:t>şta sermaye malı</w:t>
      </w:r>
      <w:r w:rsidR="002F3C84" w:rsidRPr="002F3C84">
        <w:t>, enerji</w:t>
      </w:r>
      <w:r w:rsidR="00D465B9" w:rsidRPr="002F3C84">
        <w:t xml:space="preserve"> ve ara malı </w:t>
      </w:r>
      <w:r w:rsidR="00C1615C" w:rsidRPr="002F3C84">
        <w:t>sektörlerin</w:t>
      </w:r>
      <w:r w:rsidR="00482E70" w:rsidRPr="002F3C84">
        <w:t>de</w:t>
      </w:r>
      <w:r w:rsidR="00F27E6F" w:rsidRPr="002F3C84">
        <w:t xml:space="preserve"> </w:t>
      </w:r>
      <w:r w:rsidR="00736EAB" w:rsidRPr="002F3C84">
        <w:t xml:space="preserve">yaşanan </w:t>
      </w:r>
      <w:r w:rsidR="00263D6B" w:rsidRPr="002F3C84">
        <w:t>a</w:t>
      </w:r>
      <w:r w:rsidR="002F3C84" w:rsidRPr="002F3C84">
        <w:t>rtı</w:t>
      </w:r>
      <w:r w:rsidR="00D465B9" w:rsidRPr="002F3C84">
        <w:t>şın</w:t>
      </w:r>
      <w:r w:rsidR="00C1615C" w:rsidRPr="002F3C84">
        <w:t xml:space="preserve"> </w:t>
      </w:r>
      <w:r w:rsidR="007B58E6" w:rsidRPr="002F3C84">
        <w:t>etkisi oldu</w:t>
      </w:r>
      <w:r w:rsidR="00FD0F6A" w:rsidRPr="002F3C84">
        <w:t>ğu görülmektedir</w:t>
      </w:r>
      <w:r w:rsidR="00521423" w:rsidRPr="002F3C84">
        <w:t xml:space="preserve"> (</w:t>
      </w:r>
      <w:r w:rsidR="00C1615C" w:rsidRPr="002F3C84">
        <w:t xml:space="preserve">sırasıyla yüzde </w:t>
      </w:r>
      <w:r w:rsidR="002F3C84" w:rsidRPr="002F3C84">
        <w:t>6,5</w:t>
      </w:r>
      <w:r w:rsidR="00D465B9" w:rsidRPr="002F3C84">
        <w:t>’li</w:t>
      </w:r>
      <w:r w:rsidR="00863219" w:rsidRPr="002F3C84">
        <w:t xml:space="preserve">k, </w:t>
      </w:r>
      <w:r w:rsidR="002F3C84" w:rsidRPr="002F3C84">
        <w:t>2’li</w:t>
      </w:r>
      <w:r w:rsidR="00A703C9" w:rsidRPr="002F3C84">
        <w:t>k</w:t>
      </w:r>
      <w:r w:rsidR="00D465B9" w:rsidRPr="002F3C84">
        <w:t xml:space="preserve"> </w:t>
      </w:r>
      <w:r w:rsidR="00863219" w:rsidRPr="002F3C84">
        <w:t>ve</w:t>
      </w:r>
      <w:r w:rsidR="00F9779F" w:rsidRPr="002F3C84">
        <w:t xml:space="preserve"> </w:t>
      </w:r>
      <w:r w:rsidR="002F3C84" w:rsidRPr="002F3C84">
        <w:t>0,4’lü</w:t>
      </w:r>
      <w:r w:rsidR="00596375" w:rsidRPr="002F3C84">
        <w:t>k</w:t>
      </w:r>
      <w:r w:rsidR="00C1615C" w:rsidRPr="002F3C84">
        <w:t xml:space="preserve"> </w:t>
      </w:r>
      <w:r w:rsidR="002F3C84" w:rsidRPr="002F3C84">
        <w:t>artı</w:t>
      </w:r>
      <w:r w:rsidR="00475829" w:rsidRPr="002F3C84">
        <w:t>ş</w:t>
      </w:r>
      <w:r w:rsidR="00F27E6F" w:rsidRPr="002F3C84">
        <w:t>lar</w:t>
      </w:r>
      <w:r w:rsidR="0003703C" w:rsidRPr="002F3C84">
        <w:t>)</w:t>
      </w:r>
      <w:r w:rsidR="007B58E6" w:rsidRPr="002F3C84">
        <w:t>.</w:t>
      </w:r>
    </w:p>
    <w:p w:rsidR="004B6888" w:rsidRDefault="00F27E6F" w:rsidP="00160C8F">
      <w:pPr>
        <w:jc w:val="both"/>
      </w:pPr>
      <w:r w:rsidRPr="00E36627">
        <w:t>Teknoloji sınıflarına bakıldığında bir önceki aya göre</w:t>
      </w:r>
      <w:r w:rsidR="004C2C40" w:rsidRPr="00E36627">
        <w:t xml:space="preserve"> </w:t>
      </w:r>
      <w:r w:rsidR="00C1615C" w:rsidRPr="00E36627">
        <w:t>yüksek</w:t>
      </w:r>
      <w:r w:rsidR="00E67764" w:rsidRPr="00E36627">
        <w:t xml:space="preserve"> teknolojili üretimde </w:t>
      </w:r>
      <w:r w:rsidR="00263D6B" w:rsidRPr="00E36627">
        <w:t xml:space="preserve">yüzde </w:t>
      </w:r>
      <w:r w:rsidR="00E36627" w:rsidRPr="00E36627">
        <w:t>25,5</w:t>
      </w:r>
      <w:r w:rsidR="00E71B03" w:rsidRPr="00E36627">
        <w:t>’li</w:t>
      </w:r>
      <w:r w:rsidR="00E36627" w:rsidRPr="00E36627">
        <w:t xml:space="preserve">k ve orta </w:t>
      </w:r>
      <w:r w:rsidR="00E42D35" w:rsidRPr="00E36627">
        <w:t>yüksek</w:t>
      </w:r>
      <w:r w:rsidR="004C2C40" w:rsidRPr="00E36627">
        <w:t xml:space="preserve"> teknolojili üretimde yüzde </w:t>
      </w:r>
      <w:r w:rsidR="00E36627" w:rsidRPr="00E36627">
        <w:t>2,9’lu</w:t>
      </w:r>
      <w:r w:rsidR="00817D11" w:rsidRPr="00E36627">
        <w:t xml:space="preserve">k </w:t>
      </w:r>
      <w:r w:rsidR="00E36627" w:rsidRPr="00E36627">
        <w:t xml:space="preserve">artış olurken </w:t>
      </w:r>
      <w:r w:rsidR="00C1615C" w:rsidRPr="00E36627">
        <w:t>düşük</w:t>
      </w:r>
      <w:r w:rsidR="00FF1E7D" w:rsidRPr="00E36627">
        <w:t xml:space="preserve"> tekn</w:t>
      </w:r>
      <w:r w:rsidR="00E36627" w:rsidRPr="00E36627">
        <w:t>olojili üretimde yüzde 1,7</w:t>
      </w:r>
      <w:r w:rsidR="00E71B03" w:rsidRPr="00E36627">
        <w:t>’li</w:t>
      </w:r>
      <w:r w:rsidR="00817D11" w:rsidRPr="00E36627">
        <w:t>k</w:t>
      </w:r>
      <w:r w:rsidR="00BA29CF" w:rsidRPr="00E36627">
        <w:t xml:space="preserve"> </w:t>
      </w:r>
      <w:r w:rsidR="00E36627" w:rsidRPr="00E36627">
        <w:t xml:space="preserve">ve orta düşük teknolojili üretimde yüzde 0,2’lik </w:t>
      </w:r>
      <w:r w:rsidR="00E42D35" w:rsidRPr="00E36627">
        <w:t>azalış</w:t>
      </w:r>
      <w:r w:rsidR="00BA29CF" w:rsidRPr="00E36627">
        <w:t xml:space="preserve"> olduğu görülmektedir.</w:t>
      </w:r>
      <w:r w:rsidR="00A22DF8" w:rsidRPr="00E36627">
        <w:t xml:space="preserve"> </w:t>
      </w:r>
    </w:p>
    <w:p w:rsidR="00737710" w:rsidRDefault="00737710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9C6262" w:rsidRDefault="009C6262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737710" w:rsidRDefault="00737710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lastRenderedPageBreak/>
        <w:t xml:space="preserve">Şekil 2: </w:t>
      </w:r>
      <w:r w:rsidR="001A7466">
        <w:rPr>
          <w:rFonts w:eastAsia="Times New Roman" w:cs="Times New Roman"/>
          <w:b/>
          <w:bCs/>
          <w:kern w:val="36"/>
          <w:sz w:val="24"/>
          <w:szCs w:val="24"/>
        </w:rPr>
        <w:t>Yıllara göre Mayıs</w:t>
      </w:r>
      <w:r w:rsidR="00D16216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ayları itibariyle sanayi üretim endeksi </w:t>
      </w:r>
    </w:p>
    <w:p w:rsidR="00737710" w:rsidRDefault="00737710" w:rsidP="00737710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(takvim etkisinden arındırılmış,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2015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>=100)</w:t>
      </w:r>
    </w:p>
    <w:p w:rsidR="004C3440" w:rsidRPr="004D5C8C" w:rsidRDefault="001A7466" w:rsidP="004C344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780B2D4E" wp14:editId="56646F07">
            <wp:extent cx="5972810" cy="2578735"/>
            <wp:effectExtent l="0" t="0" r="27940" b="12065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11E1" w:rsidRPr="00743CF3" w:rsidRDefault="00160C8F" w:rsidP="00160C8F">
      <w:pPr>
        <w:jc w:val="both"/>
      </w:pPr>
      <w:r w:rsidRPr="00743CF3">
        <w:t xml:space="preserve">Endeks </w:t>
      </w:r>
      <w:r w:rsidRPr="00743CF3">
        <w:rPr>
          <w:b/>
          <w:u w:val="single"/>
        </w:rPr>
        <w:t>bir önceki yılın aynı ayına göre</w:t>
      </w:r>
      <w:r w:rsidRPr="00743CF3">
        <w:t xml:space="preserve"> yüzde </w:t>
      </w:r>
      <w:r w:rsidR="00743CF3" w:rsidRPr="00743CF3">
        <w:t>1,3</w:t>
      </w:r>
      <w:r w:rsidR="008A62B9" w:rsidRPr="00743CF3">
        <w:t xml:space="preserve"> </w:t>
      </w:r>
      <w:r w:rsidRPr="00743CF3">
        <w:t xml:space="preserve">oranında </w:t>
      </w:r>
      <w:r w:rsidR="001476B3" w:rsidRPr="00743CF3">
        <w:t>azalış</w:t>
      </w:r>
      <w:r w:rsidR="00756492" w:rsidRPr="00743CF3">
        <w:t xml:space="preserve"> </w:t>
      </w:r>
      <w:r w:rsidRPr="00743CF3">
        <w:t xml:space="preserve">göstermiştir. </w:t>
      </w:r>
      <w:r w:rsidR="00743CF3" w:rsidRPr="00743CF3">
        <w:t>Mayıs</w:t>
      </w:r>
      <w:r w:rsidR="00B54505" w:rsidRPr="00743CF3">
        <w:t>(2019</w:t>
      </w:r>
      <w:r w:rsidRPr="00743CF3">
        <w:t xml:space="preserve">) ayında önceki yıla göre ana sanayi </w:t>
      </w:r>
      <w:r w:rsidR="00C04441" w:rsidRPr="00743CF3">
        <w:t>sektörleri</w:t>
      </w:r>
      <w:r w:rsidR="001476B3" w:rsidRPr="00743CF3">
        <w:t xml:space="preserve"> itibariyle en yüksek azalış</w:t>
      </w:r>
      <w:r w:rsidRPr="00743CF3">
        <w:t xml:space="preserve"> </w:t>
      </w:r>
      <w:r w:rsidR="00F877F5" w:rsidRPr="00743CF3">
        <w:t xml:space="preserve">yüzde </w:t>
      </w:r>
      <w:r w:rsidR="00743CF3" w:rsidRPr="00743CF3">
        <w:t xml:space="preserve">2,5 </w:t>
      </w:r>
      <w:r w:rsidR="005A54BA" w:rsidRPr="00743CF3">
        <w:t>ile</w:t>
      </w:r>
      <w:r w:rsidR="001476B3" w:rsidRPr="00743CF3">
        <w:t xml:space="preserve"> </w:t>
      </w:r>
      <w:r w:rsidR="00F877F5" w:rsidRPr="00743CF3">
        <w:t xml:space="preserve">madencilik ve </w:t>
      </w:r>
      <w:proofErr w:type="spellStart"/>
      <w:r w:rsidR="00F877F5" w:rsidRPr="00743CF3">
        <w:t>taşocakçılığı</w:t>
      </w:r>
      <w:proofErr w:type="spellEnd"/>
      <w:r w:rsidR="00F877F5" w:rsidRPr="00743CF3">
        <w:t xml:space="preserve"> sektöründe </w:t>
      </w:r>
      <w:r w:rsidR="0090264F" w:rsidRPr="00743CF3">
        <w:t>gerçekleşmiştir.</w:t>
      </w:r>
      <w:r w:rsidR="005A54BA" w:rsidRPr="00743CF3">
        <w:t xml:space="preserve"> </w:t>
      </w:r>
      <w:r w:rsidR="002D4D88" w:rsidRPr="00743CF3">
        <w:t>B</w:t>
      </w:r>
      <w:r w:rsidR="00DA15C9" w:rsidRPr="00743CF3">
        <w:t xml:space="preserve">u sektörü, </w:t>
      </w:r>
      <w:r w:rsidR="00B54505" w:rsidRPr="00743CF3">
        <w:t xml:space="preserve">yüzde </w:t>
      </w:r>
      <w:r w:rsidR="00743CF3" w:rsidRPr="00743CF3">
        <w:t>1,8</w:t>
      </w:r>
      <w:r w:rsidR="001476B3" w:rsidRPr="00743CF3">
        <w:t xml:space="preserve"> azalış</w:t>
      </w:r>
      <w:r w:rsidR="00DA15C9" w:rsidRPr="00743CF3">
        <w:t xml:space="preserve">la </w:t>
      </w:r>
      <w:r w:rsidR="00F877F5" w:rsidRPr="00743CF3">
        <w:t xml:space="preserve">imalat sanayi sektörü </w:t>
      </w:r>
      <w:r w:rsidR="00FF11E1" w:rsidRPr="00743CF3">
        <w:t xml:space="preserve">takip etmiştir.  </w:t>
      </w:r>
      <w:r w:rsidR="00F877F5" w:rsidRPr="00743CF3">
        <w:t>Elektrik, gaz, buhar ve iklimlendirme üretimi ve d</w:t>
      </w:r>
      <w:r w:rsidR="00743CF3" w:rsidRPr="00743CF3">
        <w:t>ağıtımı sektöründe ise yüzde 4,1</w:t>
      </w:r>
      <w:r w:rsidR="00321446" w:rsidRPr="00743CF3">
        <w:t xml:space="preserve"> artış gözlenmiştir.</w:t>
      </w:r>
    </w:p>
    <w:p w:rsidR="00153CD8" w:rsidRPr="005D165B" w:rsidRDefault="00C04441" w:rsidP="00160C8F">
      <w:pPr>
        <w:jc w:val="both"/>
      </w:pPr>
      <w:r w:rsidRPr="005D165B">
        <w:t>Ana sanayi gruplarına</w:t>
      </w:r>
      <w:r w:rsidR="00160C8F" w:rsidRPr="005D165B">
        <w:t xml:space="preserve"> bakıldığında</w:t>
      </w:r>
      <w:r w:rsidR="00D72BD4" w:rsidRPr="005D165B">
        <w:t>,</w:t>
      </w:r>
      <w:r w:rsidRPr="005D165B">
        <w:t xml:space="preserve"> </w:t>
      </w:r>
      <w:r w:rsidR="005D165B" w:rsidRPr="005D165B">
        <w:t>ara malı imalatında yüzde 6,7</w:t>
      </w:r>
      <w:r w:rsidR="008C245F">
        <w:t xml:space="preserve">’lik ve </w:t>
      </w:r>
      <w:r w:rsidR="005D165B" w:rsidRPr="005D165B">
        <w:t>dayanıklı tüketim malı imalatında yüzde 2,1’li</w:t>
      </w:r>
      <w:r w:rsidR="009A003A" w:rsidRPr="005D165B">
        <w:t xml:space="preserve">k </w:t>
      </w:r>
      <w:r w:rsidR="00740BAC" w:rsidRPr="005D165B">
        <w:t>azalı</w:t>
      </w:r>
      <w:r w:rsidR="00153CD8" w:rsidRPr="005D165B">
        <w:t>ş yaşanmıştır.</w:t>
      </w:r>
      <w:r w:rsidR="003D666D" w:rsidRPr="005D165B">
        <w:t xml:space="preserve"> </w:t>
      </w:r>
      <w:r w:rsidR="005D165B" w:rsidRPr="005D165B">
        <w:t>Enerji imalatında yüzde 7,7</w:t>
      </w:r>
      <w:r w:rsidR="008C245F">
        <w:t>’lik</w:t>
      </w:r>
      <w:r w:rsidR="005D165B" w:rsidRPr="005D165B">
        <w:t xml:space="preserve"> sermaye malı imalatında yüzde 3,4</w:t>
      </w:r>
      <w:r w:rsidR="008C245F">
        <w:t>’lük</w:t>
      </w:r>
      <w:r w:rsidR="005D165B" w:rsidRPr="005D165B">
        <w:t xml:space="preserve"> ve d</w:t>
      </w:r>
      <w:r w:rsidR="00F877F5" w:rsidRPr="005D165B">
        <w:t>ayanıksız</w:t>
      </w:r>
      <w:r w:rsidR="005D165B" w:rsidRPr="005D165B">
        <w:t xml:space="preserve"> tüketim malı i</w:t>
      </w:r>
      <w:r w:rsidR="00F877F5" w:rsidRPr="005D165B">
        <w:t xml:space="preserve">malatında </w:t>
      </w:r>
      <w:r w:rsidR="005D165B" w:rsidRPr="005D165B">
        <w:t>yüzde 0,9’lu</w:t>
      </w:r>
      <w:r w:rsidR="004E19A4" w:rsidRPr="005D165B">
        <w:t xml:space="preserve">k artış görülmüştür. </w:t>
      </w:r>
    </w:p>
    <w:p w:rsidR="00737710" w:rsidRPr="00A57C6B" w:rsidRDefault="009E5A0A" w:rsidP="00740BAC">
      <w:pPr>
        <w:jc w:val="both"/>
      </w:pPr>
      <w:r w:rsidRPr="00B9753F">
        <w:t xml:space="preserve">Bir önceki yılın aynı ayına göre değişime teknoloji sınıflarına göre bakıldığında </w:t>
      </w:r>
      <w:r w:rsidR="00740BAC" w:rsidRPr="00B9753F">
        <w:t>en yüksek azalışın</w:t>
      </w:r>
      <w:r w:rsidR="00580464" w:rsidRPr="00B9753F">
        <w:t xml:space="preserve"> yüzde </w:t>
      </w:r>
      <w:r w:rsidR="00B20FD5" w:rsidRPr="00B9753F">
        <w:t>7,6’lı</w:t>
      </w:r>
      <w:r w:rsidR="00740BAC" w:rsidRPr="00B9753F">
        <w:t xml:space="preserve">k azalışla orta düşük teknolojili üretimde </w:t>
      </w:r>
      <w:r w:rsidR="008A18D9" w:rsidRPr="00B9753F">
        <w:t xml:space="preserve">olduğu </w:t>
      </w:r>
      <w:r w:rsidR="008111C1" w:rsidRPr="00B9753F">
        <w:t>görülmektedir.</w:t>
      </w:r>
      <w:r w:rsidR="00740BAC" w:rsidRPr="00B9753F">
        <w:t xml:space="preserve"> Orta d</w:t>
      </w:r>
      <w:r w:rsidR="00315182" w:rsidRPr="00B9753F">
        <w:t>üş</w:t>
      </w:r>
      <w:r w:rsidR="00B20FD5" w:rsidRPr="00B9753F">
        <w:t>ük teknolojili üretimi yüzde 4,1’li</w:t>
      </w:r>
      <w:r w:rsidR="00740BAC" w:rsidRPr="00B9753F">
        <w:t xml:space="preserve">k azalış ile </w:t>
      </w:r>
      <w:r w:rsidR="00B54505" w:rsidRPr="00B9753F">
        <w:t>orta yüksek</w:t>
      </w:r>
      <w:r w:rsidR="00C919B8" w:rsidRPr="00B9753F">
        <w:t xml:space="preserve"> teknolojili üretim</w:t>
      </w:r>
      <w:r w:rsidR="00B20FD5" w:rsidRPr="00B9753F">
        <w:t xml:space="preserve"> ve yüzde 1,5’lik azalışla düşük teknolojili</w:t>
      </w:r>
      <w:r w:rsidR="00B9753F" w:rsidRPr="00B9753F">
        <w:t xml:space="preserve"> üretim</w:t>
      </w:r>
      <w:r w:rsidR="00C919B8" w:rsidRPr="00B9753F">
        <w:t xml:space="preserve"> </w:t>
      </w:r>
      <w:r w:rsidR="00740BAC" w:rsidRPr="00B9753F">
        <w:t>takip etmiştir. Yü</w:t>
      </w:r>
      <w:r w:rsidR="00315182" w:rsidRPr="00B9753F">
        <w:t>k</w:t>
      </w:r>
      <w:r w:rsidR="00387778" w:rsidRPr="00B9753F">
        <w:t xml:space="preserve">sek teknolojili üretimde </w:t>
      </w:r>
      <w:r w:rsidR="00B9753F" w:rsidRPr="00B9753F">
        <w:t>ise yüzde 53,1</w:t>
      </w:r>
      <w:r w:rsidR="00952952" w:rsidRPr="00B9753F">
        <w:t xml:space="preserve">’lik </w:t>
      </w:r>
      <w:r w:rsidR="008C245F">
        <w:t>artış gerçekleşmiştir</w:t>
      </w:r>
      <w:r w:rsidR="00740BAC" w:rsidRPr="00B9753F">
        <w:t>.</w:t>
      </w:r>
    </w:p>
    <w:p w:rsidR="00C37F57" w:rsidRPr="0066694D" w:rsidRDefault="00C37F57" w:rsidP="00740BAC">
      <w:pPr>
        <w:jc w:val="both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737710" w:rsidRPr="004C3440" w:rsidRDefault="00737710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9C6262" w:rsidRPr="004C3440" w:rsidRDefault="009C6262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9C6262" w:rsidRDefault="009C6262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3D666D" w:rsidRDefault="003D666D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714374" w:rsidRDefault="00714374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A703C9" w:rsidRPr="00CF56CB" w:rsidRDefault="00A703C9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10"/>
        <w:gridCol w:w="2153"/>
        <w:gridCol w:w="2067"/>
      </w:tblGrid>
      <w:tr w:rsidR="00160C8F" w:rsidRPr="004D5C8C" w:rsidTr="00DB1389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E20DB4">
            <w:pPr>
              <w:jc w:val="both"/>
            </w:pPr>
            <w:r w:rsidRPr="004D5C8C">
              <w:rPr>
                <w:b/>
              </w:rPr>
              <w:t xml:space="preserve">Tablo 1: Sanayi Üretim Endeksi Büyüme Oranları,  </w:t>
            </w:r>
            <w:r w:rsidR="001A7466">
              <w:rPr>
                <w:b/>
              </w:rPr>
              <w:t>Mayıs</w:t>
            </w:r>
            <w:r w:rsidR="00E20DB4">
              <w:rPr>
                <w:b/>
              </w:rPr>
              <w:t xml:space="preserve"> 2019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Aya Göre</w:t>
            </w:r>
            <w:r w:rsidR="00923FD3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Yıla Göre</w:t>
            </w:r>
            <w:r w:rsidR="00923FD3" w:rsidRPr="004D5C8C">
              <w:t xml:space="preserve"> (%)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Ara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A7466" w:rsidP="00D42512">
            <w:pPr>
              <w:jc w:val="center"/>
            </w:pPr>
            <w:r>
              <w:t>0,4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A7466" w:rsidP="00D42512">
            <w:pPr>
              <w:jc w:val="center"/>
            </w:pPr>
            <w:r>
              <w:t>-6,7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Dayanıklı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A7466" w:rsidP="00D42512">
            <w:pPr>
              <w:jc w:val="center"/>
            </w:pPr>
            <w:r>
              <w:t>-0,5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A7466" w:rsidP="00D42512">
            <w:pPr>
              <w:jc w:val="center"/>
            </w:pPr>
            <w:r>
              <w:t>-2,1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Dayanıksız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A7466" w:rsidP="00D42512">
            <w:pPr>
              <w:jc w:val="center"/>
            </w:pPr>
            <w:r>
              <w:t>-0,7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6005B3" w:rsidP="00727EB2">
            <w:r>
              <w:t xml:space="preserve">               </w:t>
            </w:r>
            <w:r w:rsidR="001A7466">
              <w:t xml:space="preserve"> 0,9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Enerji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A7466" w:rsidP="00D42512">
            <w:pPr>
              <w:jc w:val="center"/>
            </w:pPr>
            <w:r>
              <w:t>2,0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A7466" w:rsidP="001727DA">
            <w:pPr>
              <w:jc w:val="center"/>
            </w:pPr>
            <w:r>
              <w:t xml:space="preserve"> 7,7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Sermaye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A7466" w:rsidP="00D42512">
            <w:pPr>
              <w:jc w:val="center"/>
            </w:pPr>
            <w:r>
              <w:t>6,5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A7466" w:rsidP="00D42512">
            <w:pPr>
              <w:jc w:val="center"/>
            </w:pPr>
            <w:r>
              <w:t xml:space="preserve"> 3,4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A7466" w:rsidP="00D42512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A7466" w:rsidP="00D42512">
            <w:pPr>
              <w:jc w:val="center"/>
              <w:rPr>
                <w:b/>
              </w:rPr>
            </w:pPr>
            <w:r>
              <w:rPr>
                <w:b/>
              </w:rPr>
              <w:t>-1,3</w:t>
            </w:r>
          </w:p>
        </w:tc>
      </w:tr>
      <w:tr w:rsidR="0043515F" w:rsidRPr="004D5C8C" w:rsidTr="00A23FB2">
        <w:trPr>
          <w:trHeight w:val="264"/>
        </w:trPr>
        <w:tc>
          <w:tcPr>
            <w:tcW w:w="4110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4D5C8C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  <w:tc>
          <w:tcPr>
            <w:tcW w:w="2067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</w:tr>
      <w:tr w:rsidR="00160C8F" w:rsidRPr="004D5C8C" w:rsidTr="003F2715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E7657B" w:rsidP="00130316">
            <w:pPr>
              <w:jc w:val="both"/>
            </w:pPr>
            <w:r>
              <w:rPr>
                <w:b/>
              </w:rPr>
              <w:t xml:space="preserve">Tablo 2: Sanayi Üretim Endeksi </w:t>
            </w:r>
            <w:proofErr w:type="spellStart"/>
            <w:r w:rsidR="00160C8F" w:rsidRPr="004D5C8C">
              <w:rPr>
                <w:b/>
              </w:rPr>
              <w:t>Sektörel</w:t>
            </w:r>
            <w:proofErr w:type="spellEnd"/>
            <w:r w:rsidR="00160C8F" w:rsidRPr="004D5C8C">
              <w:rPr>
                <w:b/>
              </w:rPr>
              <w:t xml:space="preserve"> Büyüme Oranları, </w:t>
            </w:r>
            <w:r w:rsidR="001A7466">
              <w:rPr>
                <w:b/>
              </w:rPr>
              <w:t>Mayıs</w:t>
            </w:r>
            <w:r w:rsidR="00E20DB4">
              <w:rPr>
                <w:b/>
              </w:rPr>
              <w:t xml:space="preserve"> 2019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Aya Göre</w:t>
            </w:r>
            <w:r w:rsidR="008A575D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Yıla Göre</w:t>
            </w:r>
            <w:r w:rsidR="008A575D" w:rsidRPr="004D5C8C">
              <w:t xml:space="preserve"> (%)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r w:rsidRPr="004D5C8C">
              <w:t xml:space="preserve">Madencilik ve </w:t>
            </w:r>
            <w:proofErr w:type="spellStart"/>
            <w:r w:rsidRPr="004D5C8C">
              <w:t>Taşocakçılığı</w:t>
            </w:r>
            <w:proofErr w:type="spellEnd"/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1A7466" w:rsidP="00D42512">
            <w:pPr>
              <w:jc w:val="center"/>
            </w:pPr>
            <w:r>
              <w:t>5,2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1A7466" w:rsidP="00D42512">
            <w:pPr>
              <w:jc w:val="center"/>
            </w:pPr>
            <w:r>
              <w:t>-2,5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İmalat Sanayi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1A7466" w:rsidP="00D42512">
            <w:pPr>
              <w:jc w:val="center"/>
            </w:pPr>
            <w:r>
              <w:t>1,0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1A7466" w:rsidP="00D42512">
            <w:pPr>
              <w:jc w:val="center"/>
            </w:pPr>
            <w:r>
              <w:t>-1,8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Elektrik, Gaz, Buhar ve İklimlendirme Üretimi ve Dağıtımı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1A7466" w:rsidP="00D42512">
            <w:pPr>
              <w:jc w:val="center"/>
            </w:pPr>
            <w:r>
              <w:t>2,9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1A7466" w:rsidP="00D42512">
            <w:pPr>
              <w:jc w:val="center"/>
            </w:pPr>
            <w:r>
              <w:t>4,1</w:t>
            </w:r>
          </w:p>
        </w:tc>
      </w:tr>
      <w:tr w:rsidR="00160C8F" w:rsidRPr="00160C8F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316F1D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1A7466" w:rsidP="001A7466">
            <w:pPr>
              <w:rPr>
                <w:b/>
              </w:rPr>
            </w:pPr>
            <w:r>
              <w:rPr>
                <w:b/>
              </w:rPr>
              <w:t xml:space="preserve">                 1,3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24CC0" w:rsidRDefault="001A7466" w:rsidP="00D42512">
            <w:pPr>
              <w:jc w:val="center"/>
              <w:rPr>
                <w:b/>
              </w:rPr>
            </w:pPr>
            <w:r>
              <w:rPr>
                <w:b/>
              </w:rPr>
              <w:t>-1,3</w:t>
            </w:r>
          </w:p>
        </w:tc>
      </w:tr>
      <w:tr w:rsidR="00A23FB2" w:rsidRPr="00160C8F" w:rsidTr="00A23FB2">
        <w:trPr>
          <w:trHeight w:val="264"/>
        </w:trPr>
        <w:tc>
          <w:tcPr>
            <w:tcW w:w="4110" w:type="dxa"/>
            <w:shd w:val="clear" w:color="auto" w:fill="808080" w:themeFill="background1" w:themeFillShade="80"/>
            <w:noWrap/>
          </w:tcPr>
          <w:p w:rsidR="00A23FB2" w:rsidRPr="004D5C8C" w:rsidRDefault="00A23FB2" w:rsidP="00316F1D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808080" w:themeFill="background1" w:themeFillShade="80"/>
            <w:noWrap/>
            <w:vAlign w:val="center"/>
          </w:tcPr>
          <w:p w:rsidR="00A23FB2" w:rsidRDefault="00A23FB2" w:rsidP="00D42512">
            <w:pPr>
              <w:jc w:val="center"/>
              <w:rPr>
                <w:b/>
              </w:rPr>
            </w:pPr>
          </w:p>
        </w:tc>
        <w:tc>
          <w:tcPr>
            <w:tcW w:w="2067" w:type="dxa"/>
            <w:shd w:val="clear" w:color="auto" w:fill="808080" w:themeFill="background1" w:themeFillShade="80"/>
            <w:noWrap/>
            <w:vAlign w:val="center"/>
          </w:tcPr>
          <w:p w:rsidR="00A23FB2" w:rsidRDefault="00A23FB2" w:rsidP="00D42512">
            <w:pPr>
              <w:jc w:val="center"/>
              <w:rPr>
                <w:b/>
              </w:rPr>
            </w:pPr>
          </w:p>
        </w:tc>
      </w:tr>
      <w:tr w:rsidR="00A23FB2" w:rsidRPr="00160C8F" w:rsidTr="000872D4">
        <w:trPr>
          <w:trHeight w:val="264"/>
        </w:trPr>
        <w:tc>
          <w:tcPr>
            <w:tcW w:w="4110" w:type="dxa"/>
            <w:noWrap/>
          </w:tcPr>
          <w:p w:rsidR="00A23FB2" w:rsidRPr="004D5C8C" w:rsidRDefault="00A23FB2" w:rsidP="00D16216">
            <w:pPr>
              <w:jc w:val="both"/>
              <w:rPr>
                <w:b/>
              </w:rPr>
            </w:pPr>
            <w:r>
              <w:rPr>
                <w:b/>
              </w:rPr>
              <w:t>Tablo 3. Sanayi Üretim Endeksi Teknoloji Sı</w:t>
            </w:r>
            <w:r w:rsidR="002F6288">
              <w:rPr>
                <w:b/>
              </w:rPr>
              <w:t>nıfla</w:t>
            </w:r>
            <w:r w:rsidR="00683347">
              <w:rPr>
                <w:b/>
              </w:rPr>
              <w:t xml:space="preserve">rına Göre Büyüme Oranları, </w:t>
            </w:r>
            <w:r w:rsidR="001A7466">
              <w:rPr>
                <w:b/>
              </w:rPr>
              <w:t>Mayıs</w:t>
            </w:r>
            <w:r w:rsidR="00E20DB4">
              <w:rPr>
                <w:b/>
              </w:rPr>
              <w:t xml:space="preserve"> 2019</w:t>
            </w:r>
          </w:p>
        </w:tc>
        <w:tc>
          <w:tcPr>
            <w:tcW w:w="2153" w:type="dxa"/>
            <w:noWrap/>
          </w:tcPr>
          <w:p w:rsidR="00A23FB2" w:rsidRPr="004D5C8C" w:rsidRDefault="00A23FB2" w:rsidP="00237D9D">
            <w:pPr>
              <w:jc w:val="both"/>
            </w:pPr>
            <w:r w:rsidRPr="004D5C8C">
              <w:t>Önceki Aya Göre (%)</w:t>
            </w:r>
          </w:p>
        </w:tc>
        <w:tc>
          <w:tcPr>
            <w:tcW w:w="2067" w:type="dxa"/>
            <w:noWrap/>
          </w:tcPr>
          <w:p w:rsidR="00A23FB2" w:rsidRPr="004D5C8C" w:rsidRDefault="00A23FB2" w:rsidP="00237D9D">
            <w:pPr>
              <w:jc w:val="both"/>
            </w:pPr>
            <w:r w:rsidRPr="004D5C8C">
              <w:t>Önceki Yıla Göre (%)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Düşük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1A7466" w:rsidP="00D42512">
            <w:pPr>
              <w:jc w:val="center"/>
            </w:pPr>
            <w:r>
              <w:t>-1,7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1A7466" w:rsidP="00D42512">
            <w:pPr>
              <w:jc w:val="center"/>
            </w:pPr>
            <w:r>
              <w:t>-1,5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Orta Düşük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1A7466" w:rsidP="00D42512">
            <w:pPr>
              <w:jc w:val="center"/>
            </w:pPr>
            <w:r>
              <w:t>-0,2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1A7466" w:rsidP="00D42512">
            <w:pPr>
              <w:jc w:val="center"/>
            </w:pPr>
            <w:r>
              <w:t>-7,6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Orta Yüksek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1A7466" w:rsidP="001A7466">
            <w:r>
              <w:t xml:space="preserve">                  2,9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683347" w:rsidP="00130316">
            <w:r>
              <w:t xml:space="preserve">                </w:t>
            </w:r>
            <w:r w:rsidR="001A7466">
              <w:t>-4,1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Yüksek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1A7466" w:rsidP="00D42512">
            <w:pPr>
              <w:jc w:val="center"/>
            </w:pPr>
            <w:r>
              <w:t>25,5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1A7466" w:rsidP="00D42512">
            <w:pPr>
              <w:jc w:val="center"/>
            </w:pPr>
            <w:r>
              <w:t>53,1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Default="00A23FB2" w:rsidP="00316F1D">
            <w:pPr>
              <w:jc w:val="both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1A7466" w:rsidP="00D42512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2067" w:type="dxa"/>
            <w:noWrap/>
            <w:vAlign w:val="center"/>
          </w:tcPr>
          <w:p w:rsidR="00A23FB2" w:rsidRDefault="001A7466" w:rsidP="00D42512">
            <w:pPr>
              <w:jc w:val="center"/>
              <w:rPr>
                <w:b/>
              </w:rPr>
            </w:pPr>
            <w:r>
              <w:rPr>
                <w:b/>
              </w:rPr>
              <w:t>-1,3</w:t>
            </w:r>
          </w:p>
        </w:tc>
      </w:tr>
    </w:tbl>
    <w:p w:rsidR="00160C8F" w:rsidRDefault="00160C8F" w:rsidP="00FE2D1A">
      <w:pPr>
        <w:jc w:val="both"/>
      </w:pPr>
    </w:p>
    <w:sectPr w:rsidR="00160C8F" w:rsidSect="00432DF5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87E" w:rsidRDefault="00C4487E" w:rsidP="00C04441">
      <w:pPr>
        <w:spacing w:after="0" w:line="240" w:lineRule="auto"/>
      </w:pPr>
      <w:r>
        <w:separator/>
      </w:r>
    </w:p>
  </w:endnote>
  <w:endnote w:type="continuationSeparator" w:id="0">
    <w:p w:rsidR="00C4487E" w:rsidRDefault="00C4487E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294809"/>
      <w:docPartObj>
        <w:docPartGallery w:val="Page Numbers (Bottom of Page)"/>
        <w:docPartUnique/>
      </w:docPartObj>
    </w:sdtPr>
    <w:sdtContent>
      <w:p w:rsidR="00BA7E8E" w:rsidRDefault="00BA7E8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6BB">
          <w:rPr>
            <w:noProof/>
          </w:rPr>
          <w:t>1</w:t>
        </w:r>
        <w:r>
          <w:fldChar w:fldCharType="end"/>
        </w:r>
      </w:p>
    </w:sdtContent>
  </w:sdt>
  <w:p w:rsidR="00BA7E8E" w:rsidRDefault="00BA7E8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87E" w:rsidRDefault="00C4487E" w:rsidP="00C04441">
      <w:pPr>
        <w:spacing w:after="0" w:line="240" w:lineRule="auto"/>
      </w:pPr>
      <w:r>
        <w:separator/>
      </w:r>
    </w:p>
  </w:footnote>
  <w:footnote w:type="continuationSeparator" w:id="0">
    <w:p w:rsidR="00C4487E" w:rsidRDefault="00C4487E" w:rsidP="00C04441">
      <w:pPr>
        <w:spacing w:after="0" w:line="240" w:lineRule="auto"/>
      </w:pPr>
      <w:r>
        <w:continuationSeparator/>
      </w:r>
    </w:p>
  </w:footnote>
  <w:footnote w:id="1">
    <w:p w:rsidR="00522A6C" w:rsidRDefault="00522A6C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arındırılmış veriler kullanılmaktadır</w:t>
      </w:r>
      <w:r w:rsidR="0046068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55"/>
    <w:rsid w:val="000074D8"/>
    <w:rsid w:val="00020E22"/>
    <w:rsid w:val="00024FA4"/>
    <w:rsid w:val="0003703C"/>
    <w:rsid w:val="000449DE"/>
    <w:rsid w:val="00062D7C"/>
    <w:rsid w:val="00067493"/>
    <w:rsid w:val="000701FD"/>
    <w:rsid w:val="00070A53"/>
    <w:rsid w:val="000A2533"/>
    <w:rsid w:val="000B7EA9"/>
    <w:rsid w:val="000D18BE"/>
    <w:rsid w:val="000F2907"/>
    <w:rsid w:val="001037FB"/>
    <w:rsid w:val="00112C0F"/>
    <w:rsid w:val="0011315A"/>
    <w:rsid w:val="00114EEB"/>
    <w:rsid w:val="001243A0"/>
    <w:rsid w:val="001261E9"/>
    <w:rsid w:val="00130316"/>
    <w:rsid w:val="00135340"/>
    <w:rsid w:val="00145A62"/>
    <w:rsid w:val="001476B3"/>
    <w:rsid w:val="00151BD3"/>
    <w:rsid w:val="00152CE8"/>
    <w:rsid w:val="00153CD8"/>
    <w:rsid w:val="00160C8F"/>
    <w:rsid w:val="0017212E"/>
    <w:rsid w:val="001727DA"/>
    <w:rsid w:val="00176D24"/>
    <w:rsid w:val="0019156C"/>
    <w:rsid w:val="001A10CB"/>
    <w:rsid w:val="001A1146"/>
    <w:rsid w:val="001A1A85"/>
    <w:rsid w:val="001A5BD1"/>
    <w:rsid w:val="001A7466"/>
    <w:rsid w:val="001B0F96"/>
    <w:rsid w:val="001C74F4"/>
    <w:rsid w:val="001D08EA"/>
    <w:rsid w:val="001E11A2"/>
    <w:rsid w:val="001E1BF7"/>
    <w:rsid w:val="001E5A63"/>
    <w:rsid w:val="001F7633"/>
    <w:rsid w:val="00201049"/>
    <w:rsid w:val="0021363C"/>
    <w:rsid w:val="002145C8"/>
    <w:rsid w:val="00222211"/>
    <w:rsid w:val="00226AA7"/>
    <w:rsid w:val="00232DD2"/>
    <w:rsid w:val="00233BD5"/>
    <w:rsid w:val="00233F90"/>
    <w:rsid w:val="00246284"/>
    <w:rsid w:val="002466C0"/>
    <w:rsid w:val="002625C7"/>
    <w:rsid w:val="00263D6B"/>
    <w:rsid w:val="00265754"/>
    <w:rsid w:val="0028186A"/>
    <w:rsid w:val="002B2CC6"/>
    <w:rsid w:val="002B53E4"/>
    <w:rsid w:val="002C70D2"/>
    <w:rsid w:val="002D3E19"/>
    <w:rsid w:val="002D4CF4"/>
    <w:rsid w:val="002D4D88"/>
    <w:rsid w:val="002D5594"/>
    <w:rsid w:val="002E2B83"/>
    <w:rsid w:val="002F30C5"/>
    <w:rsid w:val="002F3C84"/>
    <w:rsid w:val="002F6288"/>
    <w:rsid w:val="00303320"/>
    <w:rsid w:val="00315182"/>
    <w:rsid w:val="00317C4E"/>
    <w:rsid w:val="00321446"/>
    <w:rsid w:val="00321B60"/>
    <w:rsid w:val="00340005"/>
    <w:rsid w:val="00340BEB"/>
    <w:rsid w:val="003455A1"/>
    <w:rsid w:val="00350144"/>
    <w:rsid w:val="00351561"/>
    <w:rsid w:val="00354CE2"/>
    <w:rsid w:val="00356BA7"/>
    <w:rsid w:val="00357954"/>
    <w:rsid w:val="003641B3"/>
    <w:rsid w:val="0036425F"/>
    <w:rsid w:val="00370B3E"/>
    <w:rsid w:val="003733E7"/>
    <w:rsid w:val="00375254"/>
    <w:rsid w:val="00377B30"/>
    <w:rsid w:val="00387778"/>
    <w:rsid w:val="00390E27"/>
    <w:rsid w:val="003A5037"/>
    <w:rsid w:val="003A57CB"/>
    <w:rsid w:val="003D2889"/>
    <w:rsid w:val="003D666D"/>
    <w:rsid w:val="003F266E"/>
    <w:rsid w:val="003F2715"/>
    <w:rsid w:val="00401D53"/>
    <w:rsid w:val="00407EC9"/>
    <w:rsid w:val="0041453F"/>
    <w:rsid w:val="004176BB"/>
    <w:rsid w:val="00424CC0"/>
    <w:rsid w:val="00431AD9"/>
    <w:rsid w:val="00432DF5"/>
    <w:rsid w:val="0043515F"/>
    <w:rsid w:val="00453015"/>
    <w:rsid w:val="00460688"/>
    <w:rsid w:val="00463872"/>
    <w:rsid w:val="004641F9"/>
    <w:rsid w:val="00475829"/>
    <w:rsid w:val="00482E70"/>
    <w:rsid w:val="00492DFF"/>
    <w:rsid w:val="004B6888"/>
    <w:rsid w:val="004C2C40"/>
    <w:rsid w:val="004C3440"/>
    <w:rsid w:val="004C54EA"/>
    <w:rsid w:val="004D5C8C"/>
    <w:rsid w:val="004E19A4"/>
    <w:rsid w:val="00517288"/>
    <w:rsid w:val="00521423"/>
    <w:rsid w:val="00522A6C"/>
    <w:rsid w:val="005405F5"/>
    <w:rsid w:val="00544D61"/>
    <w:rsid w:val="005531C8"/>
    <w:rsid w:val="00561558"/>
    <w:rsid w:val="00565DB5"/>
    <w:rsid w:val="00574C38"/>
    <w:rsid w:val="0057513F"/>
    <w:rsid w:val="005758F2"/>
    <w:rsid w:val="0057797A"/>
    <w:rsid w:val="00580464"/>
    <w:rsid w:val="00583547"/>
    <w:rsid w:val="0059020E"/>
    <w:rsid w:val="00593476"/>
    <w:rsid w:val="00594446"/>
    <w:rsid w:val="00596375"/>
    <w:rsid w:val="005A54BA"/>
    <w:rsid w:val="005B282C"/>
    <w:rsid w:val="005B2B26"/>
    <w:rsid w:val="005B7556"/>
    <w:rsid w:val="005B7F6F"/>
    <w:rsid w:val="005C53F8"/>
    <w:rsid w:val="005D165B"/>
    <w:rsid w:val="005D282B"/>
    <w:rsid w:val="006005B3"/>
    <w:rsid w:val="006020BD"/>
    <w:rsid w:val="00604091"/>
    <w:rsid w:val="00605830"/>
    <w:rsid w:val="00625E9B"/>
    <w:rsid w:val="00640824"/>
    <w:rsid w:val="00643409"/>
    <w:rsid w:val="00655F1B"/>
    <w:rsid w:val="0066694D"/>
    <w:rsid w:val="006760A0"/>
    <w:rsid w:val="00677B0D"/>
    <w:rsid w:val="00683347"/>
    <w:rsid w:val="00685E8C"/>
    <w:rsid w:val="006A23C6"/>
    <w:rsid w:val="006A458B"/>
    <w:rsid w:val="006A4591"/>
    <w:rsid w:val="006B2306"/>
    <w:rsid w:val="006B6AEA"/>
    <w:rsid w:val="006D41B5"/>
    <w:rsid w:val="006E318F"/>
    <w:rsid w:val="006E77D7"/>
    <w:rsid w:val="006F0E9D"/>
    <w:rsid w:val="0070186C"/>
    <w:rsid w:val="00714374"/>
    <w:rsid w:val="00716E35"/>
    <w:rsid w:val="00727EB2"/>
    <w:rsid w:val="00731B2B"/>
    <w:rsid w:val="007323C8"/>
    <w:rsid w:val="007330A1"/>
    <w:rsid w:val="00736EAB"/>
    <w:rsid w:val="00737710"/>
    <w:rsid w:val="00740BAC"/>
    <w:rsid w:val="00743CF3"/>
    <w:rsid w:val="007441EB"/>
    <w:rsid w:val="00744706"/>
    <w:rsid w:val="00756492"/>
    <w:rsid w:val="00770090"/>
    <w:rsid w:val="007700BF"/>
    <w:rsid w:val="007736BE"/>
    <w:rsid w:val="00781C4C"/>
    <w:rsid w:val="0078202D"/>
    <w:rsid w:val="007A659A"/>
    <w:rsid w:val="007A6AB2"/>
    <w:rsid w:val="007B58E6"/>
    <w:rsid w:val="007B7A94"/>
    <w:rsid w:val="007C02FB"/>
    <w:rsid w:val="007C5CE3"/>
    <w:rsid w:val="007E5800"/>
    <w:rsid w:val="007E6746"/>
    <w:rsid w:val="007F7AF1"/>
    <w:rsid w:val="00801E07"/>
    <w:rsid w:val="00802F1A"/>
    <w:rsid w:val="008111C1"/>
    <w:rsid w:val="00817D11"/>
    <w:rsid w:val="00836230"/>
    <w:rsid w:val="00863219"/>
    <w:rsid w:val="00867BDC"/>
    <w:rsid w:val="008919E1"/>
    <w:rsid w:val="00895CA1"/>
    <w:rsid w:val="008A18D9"/>
    <w:rsid w:val="008A575D"/>
    <w:rsid w:val="008A5BC8"/>
    <w:rsid w:val="008A62B9"/>
    <w:rsid w:val="008A7788"/>
    <w:rsid w:val="008C245F"/>
    <w:rsid w:val="008C2C15"/>
    <w:rsid w:val="008C7F9E"/>
    <w:rsid w:val="008D1077"/>
    <w:rsid w:val="008D6E31"/>
    <w:rsid w:val="008E7A90"/>
    <w:rsid w:val="0090264F"/>
    <w:rsid w:val="0090458B"/>
    <w:rsid w:val="00907E0D"/>
    <w:rsid w:val="00923FD3"/>
    <w:rsid w:val="0092656D"/>
    <w:rsid w:val="00930478"/>
    <w:rsid w:val="00931268"/>
    <w:rsid w:val="009319B5"/>
    <w:rsid w:val="00932909"/>
    <w:rsid w:val="00935B34"/>
    <w:rsid w:val="009367FC"/>
    <w:rsid w:val="009373A8"/>
    <w:rsid w:val="0094162A"/>
    <w:rsid w:val="00952952"/>
    <w:rsid w:val="00983006"/>
    <w:rsid w:val="009858B1"/>
    <w:rsid w:val="009A003A"/>
    <w:rsid w:val="009A055C"/>
    <w:rsid w:val="009A6E86"/>
    <w:rsid w:val="009B13DC"/>
    <w:rsid w:val="009B404C"/>
    <w:rsid w:val="009C6262"/>
    <w:rsid w:val="009C6424"/>
    <w:rsid w:val="009D3086"/>
    <w:rsid w:val="009E2652"/>
    <w:rsid w:val="009E5A0A"/>
    <w:rsid w:val="009E756B"/>
    <w:rsid w:val="009F0A83"/>
    <w:rsid w:val="009F54F1"/>
    <w:rsid w:val="00A0036E"/>
    <w:rsid w:val="00A05007"/>
    <w:rsid w:val="00A06802"/>
    <w:rsid w:val="00A22DF8"/>
    <w:rsid w:val="00A23FB2"/>
    <w:rsid w:val="00A469AB"/>
    <w:rsid w:val="00A46B52"/>
    <w:rsid w:val="00A50B41"/>
    <w:rsid w:val="00A54DF2"/>
    <w:rsid w:val="00A57C6B"/>
    <w:rsid w:val="00A64065"/>
    <w:rsid w:val="00A703C9"/>
    <w:rsid w:val="00A704B3"/>
    <w:rsid w:val="00A705F6"/>
    <w:rsid w:val="00A722F2"/>
    <w:rsid w:val="00A77365"/>
    <w:rsid w:val="00A83FD3"/>
    <w:rsid w:val="00AB519D"/>
    <w:rsid w:val="00AB7627"/>
    <w:rsid w:val="00AC3550"/>
    <w:rsid w:val="00AD2065"/>
    <w:rsid w:val="00B00B37"/>
    <w:rsid w:val="00B0776B"/>
    <w:rsid w:val="00B20FD5"/>
    <w:rsid w:val="00B2786A"/>
    <w:rsid w:val="00B33F14"/>
    <w:rsid w:val="00B404F2"/>
    <w:rsid w:val="00B4315C"/>
    <w:rsid w:val="00B54505"/>
    <w:rsid w:val="00B55EB8"/>
    <w:rsid w:val="00B65F3F"/>
    <w:rsid w:val="00B74AF8"/>
    <w:rsid w:val="00B84FE9"/>
    <w:rsid w:val="00B86368"/>
    <w:rsid w:val="00B8689F"/>
    <w:rsid w:val="00B94EA9"/>
    <w:rsid w:val="00B96B22"/>
    <w:rsid w:val="00B9753F"/>
    <w:rsid w:val="00BA000A"/>
    <w:rsid w:val="00BA1F9C"/>
    <w:rsid w:val="00BA29CF"/>
    <w:rsid w:val="00BA7E8E"/>
    <w:rsid w:val="00BB1094"/>
    <w:rsid w:val="00BC294E"/>
    <w:rsid w:val="00BC32E0"/>
    <w:rsid w:val="00BC5F10"/>
    <w:rsid w:val="00BE3F29"/>
    <w:rsid w:val="00BF1C98"/>
    <w:rsid w:val="00BF4755"/>
    <w:rsid w:val="00C04441"/>
    <w:rsid w:val="00C06FCF"/>
    <w:rsid w:val="00C144CC"/>
    <w:rsid w:val="00C1615C"/>
    <w:rsid w:val="00C21D8B"/>
    <w:rsid w:val="00C37F57"/>
    <w:rsid w:val="00C4487E"/>
    <w:rsid w:val="00C55489"/>
    <w:rsid w:val="00C73ED9"/>
    <w:rsid w:val="00C75496"/>
    <w:rsid w:val="00C919B8"/>
    <w:rsid w:val="00C97AFA"/>
    <w:rsid w:val="00CA02F3"/>
    <w:rsid w:val="00CC7D5F"/>
    <w:rsid w:val="00CD5B4A"/>
    <w:rsid w:val="00CE1205"/>
    <w:rsid w:val="00CE4BAC"/>
    <w:rsid w:val="00CE5E9C"/>
    <w:rsid w:val="00CF56CB"/>
    <w:rsid w:val="00D0085D"/>
    <w:rsid w:val="00D017B9"/>
    <w:rsid w:val="00D16216"/>
    <w:rsid w:val="00D21190"/>
    <w:rsid w:val="00D2299D"/>
    <w:rsid w:val="00D23355"/>
    <w:rsid w:val="00D26126"/>
    <w:rsid w:val="00D26ADA"/>
    <w:rsid w:val="00D35BE1"/>
    <w:rsid w:val="00D42512"/>
    <w:rsid w:val="00D465B9"/>
    <w:rsid w:val="00D559DA"/>
    <w:rsid w:val="00D60CCE"/>
    <w:rsid w:val="00D72BD4"/>
    <w:rsid w:val="00D930AD"/>
    <w:rsid w:val="00DA15C9"/>
    <w:rsid w:val="00DB1389"/>
    <w:rsid w:val="00DB1F8E"/>
    <w:rsid w:val="00DC5FDC"/>
    <w:rsid w:val="00DC7A17"/>
    <w:rsid w:val="00DE7934"/>
    <w:rsid w:val="00E1280A"/>
    <w:rsid w:val="00E137FD"/>
    <w:rsid w:val="00E20DB4"/>
    <w:rsid w:val="00E33EB8"/>
    <w:rsid w:val="00E36627"/>
    <w:rsid w:val="00E37D6E"/>
    <w:rsid w:val="00E42D35"/>
    <w:rsid w:val="00E46DD4"/>
    <w:rsid w:val="00E67764"/>
    <w:rsid w:val="00E71B03"/>
    <w:rsid w:val="00E7657B"/>
    <w:rsid w:val="00EA4257"/>
    <w:rsid w:val="00EB0949"/>
    <w:rsid w:val="00EC4AA2"/>
    <w:rsid w:val="00EC72C1"/>
    <w:rsid w:val="00ED4544"/>
    <w:rsid w:val="00ED46EA"/>
    <w:rsid w:val="00EE0B38"/>
    <w:rsid w:val="00EE2F80"/>
    <w:rsid w:val="00EE4F69"/>
    <w:rsid w:val="00EE565C"/>
    <w:rsid w:val="00EE5ABD"/>
    <w:rsid w:val="00EF4E45"/>
    <w:rsid w:val="00EF621F"/>
    <w:rsid w:val="00F061D6"/>
    <w:rsid w:val="00F111FE"/>
    <w:rsid w:val="00F27E6F"/>
    <w:rsid w:val="00F342CF"/>
    <w:rsid w:val="00F456E2"/>
    <w:rsid w:val="00F5758A"/>
    <w:rsid w:val="00F877F5"/>
    <w:rsid w:val="00F9779F"/>
    <w:rsid w:val="00F97C6A"/>
    <w:rsid w:val="00FC2597"/>
    <w:rsid w:val="00FD0F6A"/>
    <w:rsid w:val="00FE2D1A"/>
    <w:rsid w:val="00FE59CF"/>
    <w:rsid w:val="00FE7D5C"/>
    <w:rsid w:val="00FF11E1"/>
    <w:rsid w:val="00FF1E7D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3F700-70A9-45A5-A726-29CAA50A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BA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7E8E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Sanayi%20&#220;retim%20Endeksi\2019\5.May&#305;s.2019\S&#220;E_May&#305;s.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Sanayi%20&#220;retim%20Endeksi\2019\5.May&#305;s.2019\S&#220;E_May&#305;s.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'mevsim ve takvim'!$A$2</c:f>
              <c:strCache>
                <c:ptCount val="1"/>
                <c:pt idx="0">
                  <c:v>2018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takvim'!$B$2:$M$2</c:f>
              <c:numCache>
                <c:formatCode>0.0</c:formatCode>
                <c:ptCount val="12"/>
                <c:pt idx="0">
                  <c:v>118.00659420097543</c:v>
                </c:pt>
                <c:pt idx="1">
                  <c:v>116.88628391860327</c:v>
                </c:pt>
                <c:pt idx="2">
                  <c:v>116.53692690966983</c:v>
                </c:pt>
                <c:pt idx="3">
                  <c:v>117.32487538286476</c:v>
                </c:pt>
                <c:pt idx="4">
                  <c:v>115.72410986034691</c:v>
                </c:pt>
                <c:pt idx="5">
                  <c:v>113.1113721727038</c:v>
                </c:pt>
                <c:pt idx="6">
                  <c:v>117.27086253652612</c:v>
                </c:pt>
                <c:pt idx="7">
                  <c:v>115.25682115648719</c:v>
                </c:pt>
                <c:pt idx="8">
                  <c:v>112.88135149920066</c:v>
                </c:pt>
                <c:pt idx="9">
                  <c:v>110.41688093815958</c:v>
                </c:pt>
                <c:pt idx="10">
                  <c:v>110.0494949649179</c:v>
                </c:pt>
                <c:pt idx="11">
                  <c:v>108.69196746823195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'mevsim ve takvim'!$A$3</c:f>
              <c:strCache>
                <c:ptCount val="1"/>
                <c:pt idx="0">
                  <c:v>2019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5873221216041398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873221216041367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takvim'!$B$3:$M$3</c:f>
              <c:numCache>
                <c:formatCode>0.0</c:formatCode>
                <c:ptCount val="12"/>
                <c:pt idx="0">
                  <c:v>109.78659047913418</c:v>
                </c:pt>
                <c:pt idx="1">
                  <c:v>111.31567551654926</c:v>
                </c:pt>
                <c:pt idx="2">
                  <c:v>113.84938364350059</c:v>
                </c:pt>
                <c:pt idx="3">
                  <c:v>112.78758069889501</c:v>
                </c:pt>
                <c:pt idx="4">
                  <c:v>114.26484621914759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536796800"/>
        <c:axId val="-536800064"/>
      </c:lineChart>
      <c:catAx>
        <c:axId val="-536796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536800064"/>
        <c:crosses val="autoZero"/>
        <c:auto val="1"/>
        <c:lblAlgn val="ctr"/>
        <c:lblOffset val="100"/>
        <c:noMultiLvlLbl val="0"/>
      </c:catAx>
      <c:valAx>
        <c:axId val="-536800064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-536796800"/>
        <c:crosses val="autoZero"/>
        <c:crossBetween val="between"/>
        <c:majorUnit val="5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takvim!$B$9:$E$9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takvim!$B$10:$E$10</c:f>
              <c:numCache>
                <c:formatCode>0.0</c:formatCode>
                <c:ptCount val="4"/>
                <c:pt idx="0">
                  <c:v>105.43368742578724</c:v>
                </c:pt>
                <c:pt idx="1">
                  <c:v>111.01090421820479</c:v>
                </c:pt>
                <c:pt idx="2">
                  <c:v>117.55047113452753</c:v>
                </c:pt>
                <c:pt idx="3">
                  <c:v>116.00160668877284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536792448"/>
        <c:axId val="-536794080"/>
      </c:lineChart>
      <c:catAx>
        <c:axId val="-536792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536794080"/>
        <c:crosses val="autoZero"/>
        <c:auto val="1"/>
        <c:lblAlgn val="ctr"/>
        <c:lblOffset val="100"/>
        <c:noMultiLvlLbl val="0"/>
      </c:catAx>
      <c:valAx>
        <c:axId val="-536794080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-53679244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13B99-DC45-4A22-A1C4-E25D549C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Senay</cp:lastModifiedBy>
  <cp:revision>2</cp:revision>
  <cp:lastPrinted>2019-07-12T15:08:00Z</cp:lastPrinted>
  <dcterms:created xsi:type="dcterms:W3CDTF">2019-07-12T19:06:00Z</dcterms:created>
  <dcterms:modified xsi:type="dcterms:W3CDTF">2019-07-12T19:06:00Z</dcterms:modified>
</cp:coreProperties>
</file>